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2,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333-220451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ACM RESEARCH,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9"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3559</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w w:val="93"/>
              </w:rPr>
              <w:t>94-3290283</w:t>
            </w:r>
          </w:p>
        </w:tc>
      </w:tr>
      <w:tr>
        <w:trPr>
          <w:trHeight w:val="149"/>
        </w:trPr>
        <w:tc>
          <w:tcPr>
            <w:tcW w:w="29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42307 Osgood Road, Suite I</w:t>
      </w:r>
    </w:p>
    <w:p>
      <w:pPr>
        <w:jc w:val="center"/>
        <w:spacing w:after="0" w:line="226" w:lineRule="auto"/>
        <w:rPr>
          <w:sz w:val="20"/>
          <w:szCs w:val="20"/>
          <w:color w:val="auto"/>
        </w:rPr>
      </w:pPr>
      <w:r>
        <w:rPr>
          <w:rFonts w:ascii="Arial" w:cs="Arial" w:eastAsia="Arial" w:hAnsi="Arial"/>
          <w:sz w:val="14"/>
          <w:szCs w:val="14"/>
          <w:b w:val="1"/>
          <w:bCs w:val="1"/>
          <w:color w:val="auto"/>
        </w:rPr>
        <w:t>Fremont, California 94539</w:t>
      </w:r>
    </w:p>
    <w:p>
      <w:pPr>
        <w:jc w:val="center"/>
        <w:spacing w:after="0" w:line="222" w:lineRule="auto"/>
        <w:rPr>
          <w:sz w:val="20"/>
          <w:szCs w:val="20"/>
          <w:color w:val="auto"/>
        </w:rPr>
      </w:pPr>
      <w:r>
        <w:rPr>
          <w:rFonts w:ascii="Arial" w:cs="Arial" w:eastAsia="Arial" w:hAnsi="Arial"/>
          <w:sz w:val="14"/>
          <w:szCs w:val="14"/>
          <w:b w:val="1"/>
          <w:bCs w:val="1"/>
          <w:color w:val="auto"/>
        </w:rPr>
        <w:t>(510) 445-3700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David H. Wang</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 and President</w:t>
      </w:r>
    </w:p>
    <w:p>
      <w:pPr>
        <w:jc w:val="center"/>
        <w:spacing w:after="0" w:line="222" w:lineRule="auto"/>
        <w:rPr>
          <w:sz w:val="20"/>
          <w:szCs w:val="20"/>
          <w:color w:val="auto"/>
        </w:rPr>
      </w:pPr>
      <w:r>
        <w:rPr>
          <w:rFonts w:ascii="Arial" w:cs="Arial" w:eastAsia="Arial" w:hAnsi="Arial"/>
          <w:sz w:val="14"/>
          <w:szCs w:val="14"/>
          <w:b w:val="1"/>
          <w:bCs w:val="1"/>
          <w:color w:val="auto"/>
        </w:rPr>
        <w:t>ACM Research, Inc.</w:t>
      </w:r>
    </w:p>
    <w:p>
      <w:pPr>
        <w:jc w:val="center"/>
        <w:spacing w:after="0" w:line="221" w:lineRule="auto"/>
        <w:rPr>
          <w:sz w:val="20"/>
          <w:szCs w:val="20"/>
          <w:color w:val="auto"/>
        </w:rPr>
      </w:pPr>
      <w:r>
        <w:rPr>
          <w:rFonts w:ascii="Arial" w:cs="Arial" w:eastAsia="Arial" w:hAnsi="Arial"/>
          <w:sz w:val="14"/>
          <w:szCs w:val="14"/>
          <w:b w:val="1"/>
          <w:bCs w:val="1"/>
          <w:color w:val="auto"/>
        </w:rPr>
        <w:t>42307 Osgood Road, Suite I</w:t>
      </w:r>
    </w:p>
    <w:p>
      <w:pPr>
        <w:jc w:val="center"/>
        <w:spacing w:after="0" w:line="222" w:lineRule="auto"/>
        <w:rPr>
          <w:sz w:val="20"/>
          <w:szCs w:val="20"/>
          <w:color w:val="auto"/>
        </w:rPr>
      </w:pPr>
      <w:r>
        <w:rPr>
          <w:rFonts w:ascii="Arial" w:cs="Arial" w:eastAsia="Arial" w:hAnsi="Arial"/>
          <w:sz w:val="14"/>
          <w:szCs w:val="14"/>
          <w:b w:val="1"/>
          <w:bCs w:val="1"/>
          <w:color w:val="auto"/>
        </w:rPr>
        <w:t>Fremont, California 94539</w:t>
      </w:r>
    </w:p>
    <w:p>
      <w:pPr>
        <w:jc w:val="center"/>
        <w:spacing w:after="0" w:line="221" w:lineRule="auto"/>
        <w:rPr>
          <w:sz w:val="20"/>
          <w:szCs w:val="20"/>
          <w:color w:val="auto"/>
        </w:rPr>
      </w:pPr>
      <w:r>
        <w:rPr>
          <w:rFonts w:ascii="Arial" w:cs="Arial" w:eastAsia="Arial" w:hAnsi="Arial"/>
          <w:sz w:val="14"/>
          <w:szCs w:val="14"/>
          <w:b w:val="1"/>
          <w:bCs w:val="1"/>
          <w:color w:val="auto"/>
        </w:rPr>
        <w:t>Telephone: (510) 445-3700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2000" w:type="dxa"/>
        <w:tblCellMar>
          <w:top w:w="0" w:type="dxa"/>
          <w:left w:w="0" w:type="dxa"/>
          <w:bottom w:w="0" w:type="dxa"/>
          <w:right w:w="0" w:type="dxa"/>
        </w:tblCellMar>
      </w:tblPr>
      <w:tr>
        <w:trPr>
          <w:trHeight w:val="182"/>
        </w:trPr>
        <w:tc>
          <w:tcPr>
            <w:tcW w:w="2600" w:type="dxa"/>
            <w:vAlign w:val="bottom"/>
          </w:tcPr>
          <w:p>
            <w:pPr>
              <w:spacing w:after="0"/>
              <w:rPr>
                <w:sz w:val="15"/>
                <w:szCs w:val="15"/>
                <w:color w:val="auto"/>
              </w:rPr>
            </w:pPr>
          </w:p>
        </w:tc>
        <w:tc>
          <w:tcPr>
            <w:tcW w:w="4900" w:type="dxa"/>
            <w:vAlign w:val="bottom"/>
          </w:tcPr>
          <w:p>
            <w:pPr>
              <w:ind w:left="820"/>
              <w:spacing w:after="0"/>
              <w:rPr>
                <w:sz w:val="20"/>
                <w:szCs w:val="20"/>
                <w:color w:val="auto"/>
              </w:rPr>
            </w:pPr>
            <w:r>
              <w:rPr>
                <w:rFonts w:ascii="Arial" w:cs="Arial" w:eastAsia="Arial" w:hAnsi="Arial"/>
                <w:sz w:val="14"/>
                <w:szCs w:val="14"/>
                <w:b w:val="1"/>
                <w:bCs w:val="1"/>
                <w:i w:val="1"/>
                <w:iCs w:val="1"/>
                <w:color w:val="auto"/>
              </w:rPr>
              <w:t>Copies to:</w:t>
            </w:r>
          </w:p>
        </w:tc>
      </w:tr>
      <w:tr>
        <w:trPr>
          <w:trHeight w:val="192"/>
        </w:trPr>
        <w:tc>
          <w:tcPr>
            <w:tcW w:w="2600" w:type="dxa"/>
            <w:vAlign w:val="bottom"/>
          </w:tcPr>
          <w:p>
            <w:pPr>
              <w:jc w:val="center"/>
              <w:ind w:right="748"/>
              <w:spacing w:after="0"/>
              <w:rPr>
                <w:sz w:val="20"/>
                <w:szCs w:val="20"/>
                <w:color w:val="auto"/>
              </w:rPr>
            </w:pPr>
            <w:r>
              <w:rPr>
                <w:rFonts w:ascii="Arial" w:cs="Arial" w:eastAsia="Arial" w:hAnsi="Arial"/>
                <w:sz w:val="14"/>
                <w:szCs w:val="14"/>
                <w:b w:val="1"/>
                <w:bCs w:val="1"/>
                <w:color w:val="auto"/>
                <w:w w:val="95"/>
              </w:rPr>
              <w:t>Mark L. Johnson</w:t>
            </w:r>
          </w:p>
        </w:tc>
        <w:tc>
          <w:tcPr>
            <w:tcW w:w="4900" w:type="dxa"/>
            <w:vAlign w:val="bottom"/>
          </w:tcPr>
          <w:p>
            <w:pPr>
              <w:jc w:val="center"/>
              <w:ind w:left="3128"/>
              <w:spacing w:after="0"/>
              <w:rPr>
                <w:sz w:val="20"/>
                <w:szCs w:val="20"/>
                <w:color w:val="auto"/>
              </w:rPr>
            </w:pPr>
            <w:r>
              <w:rPr>
                <w:rFonts w:ascii="Arial" w:cs="Arial" w:eastAsia="Arial" w:hAnsi="Arial"/>
                <w:sz w:val="14"/>
                <w:szCs w:val="14"/>
                <w:b w:val="1"/>
                <w:bCs w:val="1"/>
                <w:color w:val="auto"/>
                <w:w w:val="97"/>
              </w:rPr>
              <w:t>Michael D. Maline</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3"/>
              </w:rPr>
              <w:t>Bella Zaslavsky</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3"/>
              </w:rPr>
              <w:t>Seo Salimi</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rPr>
              <w:t>K&amp;L Gates LLP</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6"/>
              </w:rPr>
              <w:t>Goodwin Procter LLP</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One Lincoln Street</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0"/>
              </w:rPr>
              <w:t>620 Eighth Avenue</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89"/>
              </w:rPr>
              <w:t>Boston, Massachusetts 02111</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5"/>
              </w:rPr>
              <w:t>New York, New York 10018</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Telephone: (617) 261-3100</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2"/>
              </w:rPr>
              <w:t>Telephone: (212) 813-8800</w:t>
            </w:r>
          </w:p>
        </w:tc>
      </w:tr>
      <w:tr>
        <w:trPr>
          <w:trHeight w:val="186"/>
        </w:trPr>
        <w:tc>
          <w:tcPr>
            <w:tcW w:w="2600" w:type="dxa"/>
            <w:vAlign w:val="bottom"/>
          </w:tcPr>
          <w:p>
            <w:pPr>
              <w:jc w:val="center"/>
              <w:ind w:right="728"/>
              <w:spacing w:after="0"/>
              <w:rPr>
                <w:sz w:val="20"/>
                <w:szCs w:val="20"/>
                <w:color w:val="auto"/>
              </w:rPr>
            </w:pPr>
            <w:r>
              <w:rPr>
                <w:rFonts w:ascii="Arial" w:cs="Arial" w:eastAsia="Arial" w:hAnsi="Arial"/>
                <w:sz w:val="14"/>
                <w:szCs w:val="14"/>
                <w:b w:val="1"/>
                <w:bCs w:val="1"/>
                <w:color w:val="auto"/>
                <w:w w:val="92"/>
              </w:rPr>
              <w:t>Telecopy: (617) 261-3175</w:t>
            </w:r>
          </w:p>
        </w:tc>
        <w:tc>
          <w:tcPr>
            <w:tcW w:w="4900" w:type="dxa"/>
            <w:vAlign w:val="bottom"/>
          </w:tcPr>
          <w:p>
            <w:pPr>
              <w:jc w:val="center"/>
              <w:ind w:left="3148"/>
              <w:spacing w:after="0"/>
              <w:rPr>
                <w:sz w:val="20"/>
                <w:szCs w:val="20"/>
                <w:color w:val="auto"/>
              </w:rPr>
            </w:pPr>
            <w:r>
              <w:rPr>
                <w:rFonts w:ascii="Arial" w:cs="Arial" w:eastAsia="Arial" w:hAnsi="Arial"/>
                <w:sz w:val="14"/>
                <w:szCs w:val="14"/>
                <w:b w:val="1"/>
                <w:bCs w:val="1"/>
                <w:color w:val="auto"/>
                <w:w w:val="92"/>
              </w:rPr>
              <w:t>Telecopy: (212) 355-3333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07"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6"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40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4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14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ind w:right="40" w:firstLine="342"/>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Amendment No. 4 to the Registration Statement on Form S-1 (File No. 333-220451) of ACM Research, Inc. is being filed solely for the purpose of filing Exhibits 4.02, 5.01 and 23.02 and updating Item 16(a) of Part II of the Registration Statement. Accordingly, this Amendment No. 4 consists of only the facing page, this explanatory note and Part II of the Registration Statement. The Prospectus, constituting Part I of the Registration Statement, is unchanged and has therefore been omitted.</w:t>
      </w:r>
    </w:p>
    <w:p>
      <w:pPr>
        <w:sectPr>
          <w:pgSz w:w="11900" w:h="16838" w:orient="portrait"/>
          <w:cols w:equalWidth="0" w:num="1">
            <w:col w:w="11420"/>
          </w:cols>
          <w:pgMar w:left="240" w:top="27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presents the costs and expenses, other than underwriting discounts and commissions, payable in connection with the sale of Class A common stock being registered. All amounts are estimates except the SEC registration fee, the FINRA filing fee and the exchange listing fee. Except as otherwise noted, all the expenses below will be paid by us.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FINRA filing fee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3,778</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1,135,000</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280,002</w:t>
            </w:r>
          </w:p>
        </w:tc>
        <w:tc>
          <w:tcPr>
            <w:tcW w:w="80" w:type="dxa"/>
            <w:vAlign w:val="bottom"/>
          </w:tcPr>
          <w:p>
            <w:pPr>
              <w:spacing w:after="0"/>
              <w:rPr>
                <w:sz w:val="19"/>
                <w:szCs w:val="19"/>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2,250,000</w:t>
            </w:r>
          </w:p>
        </w:tc>
        <w:tc>
          <w:tcPr>
            <w:tcW w:w="8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89"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In connection with the completion of this offering, the registrant’s restated charter will contain provisions that eliminate, to the maximum extent permitted by the General Corporation Law of the State of Delaware, the personal liability of the registrant’s directors for monetary damages for breach of their fiduciary duties as directors. The registrant’s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88"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registrant has entered into indemnification agreements with its directors and executive officers, in addition to the indemnification provided for in its restated bylaws, and intends to enter into indemnification agreements with any new directors and executive officers in the future.</w:t>
      </w:r>
    </w:p>
    <w:p>
      <w:pPr>
        <w:spacing w:after="0" w:line="14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Underwriting Agreement, the form of which is attached as Exhibit 1.1 hereto, provides for indemnification by the underwriters of the registrant and its executive officers and directors, and by the registrant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underwriters, for certain liabilities, including liabilities arising under the Securities Act and affords certain rights of contribution with respect thereto.</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“Undertakings” set out in response to Item 17 herein.</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Set forth below is information regarding the shares of common stock and preferred stock, and options granted, by us since January 30, 2014 that were not registered under the Securities Act of 1933.</w:t>
      </w:r>
    </w:p>
    <w:p>
      <w:pPr>
        <w:spacing w:after="0" w:line="76" w:lineRule="exact"/>
        <w:rPr>
          <w:sz w:val="20"/>
          <w:szCs w:val="20"/>
          <w:color w:val="auto"/>
        </w:rPr>
      </w:pPr>
    </w:p>
    <w:p>
      <w:pPr>
        <w:ind w:left="900" w:hanging="446"/>
        <w:spacing w:after="0" w:line="272"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granted stock options to purchase shares of Class A common stock to certain of our employees, officers, directors, consultants and advisors, as follows: (a) on May 1, 2015, we granted stock options to purchase an aggregate of 783,338 shares of Class A common stock at a price of $1.50 per share; (b) on September 8, 2015 we granted stock options to purchase an aggregate of 263,335 shares of Class A common stock at an exercise price of $1.50 per share; (c) on December 28, 2016 we granted stock options to purchase an aggregate of 1,424,596 shares of Class A common stock at a price of $3.00 per share; (d) on March 9, 2017 we granted a stock option to purchase 33,334 shares of Class A common stock at a price of $7.50 per share and (e) on May 9, 2017 we granted a stock option to purchase an aggregate of 183,335 shares of Class A common stock at a price of $2.50 per share.</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889,558 shares of Class A common stock for consideration aggregating $723,910.</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362,335 shares of Class B common stock for consideration aggregating $271,750.</w:t>
      </w:r>
    </w:p>
    <w:p>
      <w:pPr>
        <w:spacing w:after="0" w:line="142" w:lineRule="exact"/>
        <w:rPr>
          <w:rFonts w:ascii="Arial" w:cs="Arial" w:eastAsia="Arial" w:hAnsi="Arial"/>
          <w:sz w:val="17"/>
          <w:szCs w:val="17"/>
          <w:color w:val="auto"/>
        </w:rPr>
      </w:pPr>
    </w:p>
    <w:p>
      <w:pPr>
        <w:ind w:left="900" w:right="44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December 2016 we issued (a) 3,615,800 shares of Series F convertible preferred stock for an aggregate purchase price of $9,039,500, (b) 47,454 shares of Series F convertible preferred stock pursuant to conversion of $118,665 of principal and accrued interest of convertible promissory notes and (c) 1,812,069 shares of Class A common stock pursuant to the conversion of $2,522,784 of principal of convertible promissory notes.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March 2017 we entered into a securities purchase agreement pursuant to which we issued a warrant to acquire 397,502 shares of Class A common stock for an aggregate purchase price of $2,981,265.</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March 2017 we entered into a securities purchase agreement pursuant to which we issued 4,998,508 shares of Series E convertible preferred stock for an aggregate purchase price of $5,800,000.</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pursuant to which we issued 1,119,576 shares of Class A common stock for an aggregate purchase price of $8,396,820.</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pursuant to which we issued 787,098 shares of Class A common stock for an aggregate purchase price of $5,903,235.</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September 2017 we entered into a securities purchase agreement pursuant to which we issued 133,334 shares of Class A common stock for an aggregate purchase price of $1,000,000.</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October 2017 we entered into securities purchase agreements pursuant to which we agreed to issue, subject to the closing of this offering, 1,333,334 shares of Class A common stock in a concurrent private placement at an exercise price per share equal to the initial public offering price of this offering (subject to adjustment).</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offers, sales, grants and issuances of the securities described in paragraphs (1), (2) and (3) were deemed to be exempt from registration under the Securities Act in reliance on Rule 701. The recipients of such securities were our employees, officers, directors, bona fide consultants and advisors and received the securities under our 1998 Stock Option Plan, written compensation contracts or our 2016 Omnibus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offer, sale and issuance of the securities described in paragraphs (4) through (10) were deemed to be exempt from registration under the Securities Act in reliance on Section 4(a)(2) of the Securities Act in that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74" w:right="259" w:bottom="1440" w:gutter="0" w:footer="0" w:header="0"/>
        </w:sectPr>
      </w:pPr>
    </w:p>
    <w:bookmarkStart w:id="4" w:name="page5"/>
    <w:bookmarkEnd w:id="4"/>
    <w:p>
      <w:pPr>
        <w:jc w:val="both"/>
        <w:ind w:right="5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of the securities to the accredited investors did not involve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Consolidated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4"/>
              </w:rPr>
              <w:t>Exhibit</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No.</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8560" w:type="dxa"/>
            <w:vAlign w:val="bottom"/>
            <w:tcBorders>
              <w:bottom w:val="single" w:sz="8" w:color="0000EE"/>
            </w:tcBorders>
            <w:gridSpan w:val="19"/>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Form of Underwriting Agreement to be entered into between ACM Research, Inc. and the underwriters of this offering</w:t>
              </w:r>
            </w:hyperlink>
          </w:p>
        </w:tc>
        <w:tc>
          <w:tcPr>
            <w:tcW w:w="1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3.01#</w:t>
            </w:r>
          </w:p>
        </w:tc>
        <w:tc>
          <w:tcPr>
            <w:tcW w:w="78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rPr>
            </w:pPr>
            <w:hyperlink r:id="rId24">
              <w:r>
                <w:rPr>
                  <w:rFonts w:ascii="Arial" w:cs="Arial" w:eastAsia="Arial" w:hAnsi="Arial"/>
                  <w:sz w:val="18"/>
                  <w:szCs w:val="18"/>
                  <w:color w:val="0000EE"/>
                </w:rPr>
                <w:t>Certificate of Incorporation of ACM Research, Inc. (currently in effect)</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3.02#</w:t>
            </w:r>
          </w:p>
        </w:tc>
        <w:tc>
          <w:tcPr>
            <w:tcW w:w="780" w:type="dxa"/>
            <w:vAlign w:val="bottom"/>
          </w:tcPr>
          <w:p>
            <w:pPr>
              <w:spacing w:after="0"/>
              <w:rPr>
                <w:sz w:val="24"/>
                <w:szCs w:val="24"/>
                <w:color w:val="auto"/>
              </w:rPr>
            </w:pPr>
          </w:p>
        </w:tc>
        <w:tc>
          <w:tcPr>
            <w:tcW w:w="5140" w:type="dxa"/>
            <w:vAlign w:val="bottom"/>
            <w:tcBorders>
              <w:top w:val="single" w:sz="8" w:color="0000EE"/>
            </w:tcBorders>
            <w:gridSpan w:val="11"/>
          </w:tcPr>
          <w:p>
            <w:pPr>
              <w:spacing w:after="0"/>
              <w:rPr>
                <w:rFonts w:ascii="Arial" w:cs="Arial" w:eastAsia="Arial" w:hAnsi="Arial"/>
                <w:sz w:val="18"/>
                <w:szCs w:val="18"/>
                <w:color w:val="0000EE"/>
              </w:rPr>
            </w:pPr>
            <w:hyperlink r:id="rId25">
              <w:r>
                <w:rPr>
                  <w:rFonts w:ascii="Arial" w:cs="Arial" w:eastAsia="Arial" w:hAnsi="Arial"/>
                  <w:sz w:val="18"/>
                  <w:szCs w:val="18"/>
                  <w:color w:val="0000EE"/>
                </w:rPr>
                <w:t>Bylaws of ACM Research, Inc. (currently in effect)</w:t>
              </w:r>
            </w:hyperlink>
          </w:p>
        </w:tc>
        <w:tc>
          <w:tcPr>
            <w:tcW w:w="49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3.03#</w:t>
            </w:r>
          </w:p>
        </w:tc>
        <w:tc>
          <w:tcPr>
            <w:tcW w:w="78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rPr>
            </w:pPr>
            <w:hyperlink r:id="rId26">
              <w:r>
                <w:rPr>
                  <w:rFonts w:ascii="Arial" w:cs="Arial" w:eastAsia="Arial" w:hAnsi="Arial"/>
                  <w:sz w:val="18"/>
                  <w:szCs w:val="18"/>
                  <w:color w:val="0000EE"/>
                </w:rPr>
                <w:t>Form of Restated Certificate of Incorporation (to be effective following completion of this offering)</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3.04#</w:t>
            </w:r>
          </w:p>
        </w:tc>
        <w:tc>
          <w:tcPr>
            <w:tcW w:w="780" w:type="dxa"/>
            <w:vAlign w:val="bottom"/>
          </w:tcPr>
          <w:p>
            <w:pPr>
              <w:spacing w:after="0"/>
              <w:rPr>
                <w:sz w:val="24"/>
                <w:szCs w:val="24"/>
                <w:color w:val="auto"/>
              </w:rPr>
            </w:pPr>
          </w:p>
        </w:tc>
        <w:tc>
          <w:tcPr>
            <w:tcW w:w="7180" w:type="dxa"/>
            <w:vAlign w:val="bottom"/>
            <w:tcBorders>
              <w:top w:val="single" w:sz="8" w:color="0000EE"/>
            </w:tcBorders>
            <w:gridSpan w:val="16"/>
          </w:tcPr>
          <w:p>
            <w:pPr>
              <w:spacing w:after="0"/>
              <w:rPr>
                <w:rFonts w:ascii="Arial" w:cs="Arial" w:eastAsia="Arial" w:hAnsi="Arial"/>
                <w:sz w:val="18"/>
                <w:szCs w:val="18"/>
                <w:color w:val="0000EE"/>
                <w:w w:val="92"/>
              </w:rPr>
            </w:pPr>
            <w:hyperlink r:id="rId27">
              <w:r>
                <w:rPr>
                  <w:rFonts w:ascii="Arial" w:cs="Arial" w:eastAsia="Arial" w:hAnsi="Arial"/>
                  <w:sz w:val="18"/>
                  <w:szCs w:val="18"/>
                  <w:color w:val="0000EE"/>
                  <w:w w:val="92"/>
                </w:rPr>
                <w:t>Form of Restated Bylaws of ACM Research, Inc. (to be effective upon completion of this offering)</w:t>
              </w:r>
            </w:hyperlink>
          </w:p>
        </w:tc>
        <w:tc>
          <w:tcPr>
            <w:tcW w:w="2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4.01#</w:t>
            </w:r>
          </w:p>
        </w:tc>
        <w:tc>
          <w:tcPr>
            <w:tcW w:w="780" w:type="dxa"/>
            <w:vAlign w:val="bottom"/>
          </w:tcPr>
          <w:p>
            <w:pPr>
              <w:spacing w:after="0"/>
              <w:rPr>
                <w:sz w:val="24"/>
                <w:szCs w:val="24"/>
                <w:color w:val="auto"/>
              </w:rPr>
            </w:pPr>
          </w:p>
        </w:tc>
        <w:tc>
          <w:tcPr>
            <w:tcW w:w="7120" w:type="dxa"/>
            <w:vAlign w:val="bottom"/>
            <w:tcBorders>
              <w:top w:val="single" w:sz="8" w:color="0000EE"/>
            </w:tcBorders>
            <w:gridSpan w:val="15"/>
          </w:tcPr>
          <w:p>
            <w:pPr>
              <w:spacing w:after="0"/>
              <w:rPr>
                <w:rFonts w:ascii="Arial" w:cs="Arial" w:eastAsia="Arial" w:hAnsi="Arial"/>
                <w:sz w:val="18"/>
                <w:szCs w:val="18"/>
                <w:color w:val="0000EE"/>
              </w:rPr>
            </w:pPr>
            <w:hyperlink r:id="rId28">
              <w:r>
                <w:rPr>
                  <w:rFonts w:ascii="Arial" w:cs="Arial" w:eastAsia="Arial" w:hAnsi="Arial"/>
                  <w:sz w:val="18"/>
                  <w:szCs w:val="18"/>
                  <w:color w:val="0000EE"/>
                </w:rPr>
                <w:t>Specimen stock certificate evidencing Class A common stock of ACM Research, Inc.</w:t>
              </w:r>
            </w:hyperlink>
          </w:p>
        </w:tc>
        <w:tc>
          <w:tcPr>
            <w:tcW w:w="29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4.02</w:t>
            </w:r>
          </w:p>
        </w:tc>
        <w:tc>
          <w:tcPr>
            <w:tcW w:w="780" w:type="dxa"/>
            <w:vAlign w:val="bottom"/>
          </w:tcPr>
          <w:p>
            <w:pPr>
              <w:spacing w:after="0"/>
              <w:rPr>
                <w:sz w:val="24"/>
                <w:szCs w:val="24"/>
                <w:color w:val="auto"/>
              </w:rPr>
            </w:pPr>
          </w:p>
        </w:tc>
        <w:tc>
          <w:tcPr>
            <w:tcW w:w="80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1"/>
              </w:rPr>
              <w:t>Form of Class A Common Stock Warrant of ACM Research Inc. to be issued to the underwriters of this offering</w:t>
            </w:r>
          </w:p>
        </w:tc>
        <w:tc>
          <w:tcPr>
            <w:tcW w:w="19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5.01</w:t>
            </w:r>
          </w:p>
        </w:tc>
        <w:tc>
          <w:tcPr>
            <w:tcW w:w="780" w:type="dxa"/>
            <w:vAlign w:val="bottom"/>
          </w:tcPr>
          <w:p>
            <w:pPr>
              <w:spacing w:after="0"/>
              <w:rPr>
                <w:sz w:val="24"/>
                <w:szCs w:val="24"/>
                <w:color w:val="auto"/>
              </w:rPr>
            </w:pPr>
          </w:p>
        </w:tc>
        <w:tc>
          <w:tcPr>
            <w:tcW w:w="10040" w:type="dxa"/>
            <w:vAlign w:val="bottom"/>
            <w:gridSpan w:val="25"/>
          </w:tcPr>
          <w:p>
            <w:pPr>
              <w:spacing w:after="0"/>
              <w:rPr>
                <w:sz w:val="20"/>
                <w:szCs w:val="20"/>
                <w:color w:val="auto"/>
              </w:rPr>
            </w:pPr>
            <w:r>
              <w:rPr>
                <w:rFonts w:ascii="Arial" w:cs="Arial" w:eastAsia="Arial" w:hAnsi="Arial"/>
                <w:sz w:val="18"/>
                <w:szCs w:val="18"/>
                <w:color w:val="0000EE"/>
              </w:rPr>
              <w:t>Opinion of K&amp;L Gates LLP</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10.01#</w:t>
            </w:r>
          </w:p>
        </w:tc>
        <w:tc>
          <w:tcPr>
            <w:tcW w:w="78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rPr>
            </w:pPr>
            <w:hyperlink r:id="rId29">
              <w:r>
                <w:rPr>
                  <w:rFonts w:ascii="Arial" w:cs="Arial" w:eastAsia="Arial" w:hAnsi="Arial"/>
                  <w:sz w:val="18"/>
                  <w:szCs w:val="18"/>
                  <w:color w:val="0000EE"/>
                </w:rPr>
                <w:t>Lease dated March 22, 2017 between ACM Research, Inc. and D&amp;J Construction, Inc.</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10.02#</w:t>
            </w:r>
          </w:p>
        </w:tc>
        <w:tc>
          <w:tcPr>
            <w:tcW w:w="780" w:type="dxa"/>
            <w:vAlign w:val="bottom"/>
          </w:tcPr>
          <w:p>
            <w:pPr>
              <w:spacing w:after="0"/>
              <w:rPr>
                <w:sz w:val="24"/>
                <w:szCs w:val="24"/>
                <w:color w:val="auto"/>
              </w:rPr>
            </w:pPr>
          </w:p>
        </w:tc>
        <w:tc>
          <w:tcPr>
            <w:tcW w:w="8340" w:type="dxa"/>
            <w:vAlign w:val="bottom"/>
            <w:tcBorders>
              <w:bottom w:val="single" w:sz="8" w:color="0000EE"/>
            </w:tcBorders>
            <w:gridSpan w:val="18"/>
          </w:tcPr>
          <w:p>
            <w:pPr>
              <w:spacing w:after="0"/>
              <w:rPr>
                <w:rFonts w:ascii="Arial" w:cs="Arial" w:eastAsia="Arial" w:hAnsi="Arial"/>
                <w:sz w:val="18"/>
                <w:szCs w:val="18"/>
                <w:color w:val="0000EE"/>
                <w:w w:val="89"/>
              </w:rPr>
            </w:pPr>
            <w:hyperlink r:id="rId30">
              <w:r>
                <w:rPr>
                  <w:rFonts w:ascii="Arial" w:cs="Arial" w:eastAsia="Arial" w:hAnsi="Arial"/>
                  <w:sz w:val="18"/>
                  <w:szCs w:val="18"/>
                  <w:color w:val="0000EE"/>
                  <w:w w:val="89"/>
                </w:rPr>
                <w:t>Lease dated September 6, 2016 between ACM Research (Shanghai), Inc. and Shanghai Zhangjiang Group Co., Ltd.</w:t>
              </w:r>
            </w:hyperlink>
          </w:p>
        </w:tc>
        <w:tc>
          <w:tcPr>
            <w:tcW w:w="1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10.03#</w:t>
            </w:r>
          </w:p>
        </w:tc>
        <w:tc>
          <w:tcPr>
            <w:tcW w:w="780" w:type="dxa"/>
            <w:vAlign w:val="bottom"/>
          </w:tcPr>
          <w:p>
            <w:pPr>
              <w:spacing w:after="0"/>
              <w:rPr>
                <w:sz w:val="24"/>
                <w:szCs w:val="24"/>
                <w:color w:val="auto"/>
              </w:rPr>
            </w:pPr>
          </w:p>
        </w:tc>
        <w:tc>
          <w:tcPr>
            <w:tcW w:w="9940" w:type="dxa"/>
            <w:vAlign w:val="bottom"/>
            <w:tcBorders>
              <w:bottom w:val="single" w:sz="8" w:color="0000EE"/>
            </w:tcBorders>
            <w:gridSpan w:val="23"/>
          </w:tcPr>
          <w:p>
            <w:pPr>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Securities Purchase Agreement dated March 14, 2017 by and among ACM Research, Inc., Shengxin (Shanghai) Management Consulting</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Limited Partnership and ACM Research (Shanghai), Inc.</w:t>
              </w:r>
            </w:hyperlink>
          </w:p>
        </w:tc>
        <w:tc>
          <w:tcPr>
            <w:tcW w:w="59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w w:val="88"/>
              </w:rPr>
              <w:t>10.03(a)#</w:t>
            </w:r>
          </w:p>
        </w:tc>
        <w:tc>
          <w:tcPr>
            <w:tcW w:w="10040" w:type="dxa"/>
            <w:vAlign w:val="bottom"/>
            <w:gridSpan w:val="25"/>
          </w:tcPr>
          <w:p>
            <w:pPr>
              <w:spacing w:after="0"/>
              <w:rPr>
                <w:rFonts w:ascii="Arial" w:cs="Arial" w:eastAsia="Arial" w:hAnsi="Arial"/>
                <w:sz w:val="18"/>
                <w:szCs w:val="18"/>
                <w:color w:val="0000EE"/>
                <w:w w:val="95"/>
              </w:rPr>
            </w:pPr>
            <w:hyperlink r:id="rId32">
              <w:r>
                <w:rPr>
                  <w:rFonts w:ascii="Arial" w:cs="Arial" w:eastAsia="Arial" w:hAnsi="Arial"/>
                  <w:sz w:val="18"/>
                  <w:szCs w:val="18"/>
                  <w:color w:val="0000EE"/>
                  <w:w w:val="95"/>
                </w:rPr>
                <w:t>Warrant dated March 14, 2017 issued by ACM Research, Inc. to Shengxin (Shanghai) Management Consulting Limited Partnership</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900" w:type="dxa"/>
            <w:vAlign w:val="bottom"/>
            <w:gridSpan w:val="11"/>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10.04#</w:t>
            </w:r>
          </w:p>
        </w:tc>
        <w:tc>
          <w:tcPr>
            <w:tcW w:w="780" w:type="dxa"/>
            <w:vAlign w:val="bottom"/>
          </w:tcPr>
          <w:p>
            <w:pPr>
              <w:spacing w:after="0"/>
              <w:rPr>
                <w:sz w:val="24"/>
                <w:szCs w:val="24"/>
                <w:color w:val="auto"/>
              </w:rPr>
            </w:pPr>
          </w:p>
        </w:tc>
        <w:tc>
          <w:tcPr>
            <w:tcW w:w="10040" w:type="dxa"/>
            <w:vAlign w:val="bottom"/>
            <w:tcBorders>
              <w:bottom w:val="single" w:sz="8" w:color="0000EE"/>
            </w:tcBorders>
            <w:gridSpan w:val="25"/>
          </w:tcPr>
          <w:p>
            <w:pPr>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Securities Purchase Agreement dated March 23, 2017 between ACM Research, Inc. and Shanghai Science and Technology Venture Capital</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33">
              <w:r>
                <w:rPr>
                  <w:rFonts w:ascii="Arial" w:cs="Arial" w:eastAsia="Arial" w:hAnsi="Arial"/>
                  <w:sz w:val="18"/>
                  <w:szCs w:val="18"/>
                  <w:color w:val="0000EE"/>
                  <w:w w:val="88"/>
                </w:rPr>
                <w:t>Co., Ltd., as amended</w:t>
              </w:r>
            </w:hyperlink>
          </w:p>
        </w:tc>
        <w:tc>
          <w:tcPr>
            <w:tcW w:w="84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10.05#</w:t>
            </w:r>
          </w:p>
        </w:tc>
        <w:tc>
          <w:tcPr>
            <w:tcW w:w="780" w:type="dxa"/>
            <w:vAlign w:val="bottom"/>
          </w:tcPr>
          <w:p>
            <w:pPr>
              <w:spacing w:after="0"/>
              <w:rPr>
                <w:sz w:val="24"/>
                <w:szCs w:val="24"/>
                <w:color w:val="auto"/>
              </w:rPr>
            </w:pPr>
          </w:p>
        </w:tc>
        <w:tc>
          <w:tcPr>
            <w:tcW w:w="9880" w:type="dxa"/>
            <w:vAlign w:val="bottom"/>
            <w:tcBorders>
              <w:bottom w:val="single" w:sz="8" w:color="0000EE"/>
            </w:tcBorders>
            <w:gridSpan w:val="22"/>
          </w:tcPr>
          <w:p>
            <w:pPr>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Securities Purchase Agreement dated August 31, 2017 by and among ACM Research, Inc., Shanghai Pudong High-Tech Investment Co.,</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Ltd. and Pudong Science and Technology (Cayman) Co., Ltd.</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10.06#</w:t>
            </w:r>
          </w:p>
        </w:tc>
        <w:tc>
          <w:tcPr>
            <w:tcW w:w="78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w w:val="92"/>
              </w:rPr>
            </w:pPr>
            <w:hyperlink r:id="rId35">
              <w:r>
                <w:rPr>
                  <w:rFonts w:ascii="Arial" w:cs="Arial" w:eastAsia="Arial" w:hAnsi="Arial"/>
                  <w:sz w:val="18"/>
                  <w:szCs w:val="18"/>
                  <w:color w:val="0000EE"/>
                  <w:w w:val="92"/>
                </w:rPr>
                <w:t>Securities Purchase Agreement dated August 31, 2017 by and among ACM Research, Inc., Shanghai Zhangjiang Science &amp; Technology</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Venture Capital Co., Ltd. and Zhangjiang AJ Company Limited</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30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10.07#</w:t>
            </w:r>
          </w:p>
        </w:tc>
        <w:tc>
          <w:tcPr>
            <w:tcW w:w="780" w:type="dxa"/>
            <w:vAlign w:val="bottom"/>
          </w:tcPr>
          <w:p>
            <w:pPr>
              <w:spacing w:after="0"/>
              <w:rPr>
                <w:sz w:val="24"/>
                <w:szCs w:val="24"/>
                <w:color w:val="auto"/>
              </w:rPr>
            </w:pPr>
          </w:p>
        </w:tc>
        <w:tc>
          <w:tcPr>
            <w:tcW w:w="9980" w:type="dxa"/>
            <w:vAlign w:val="bottom"/>
            <w:tcBorders>
              <w:bottom w:val="single" w:sz="8" w:color="0000EE"/>
            </w:tcBorders>
            <w:gridSpan w:val="24"/>
          </w:tcPr>
          <w:p>
            <w:pPr>
              <w:spacing w:after="0"/>
              <w:rPr>
                <w:rFonts w:ascii="Arial" w:cs="Arial" w:eastAsia="Arial" w:hAnsi="Arial"/>
                <w:sz w:val="18"/>
                <w:szCs w:val="18"/>
                <w:color w:val="0000EE"/>
                <w:w w:val="90"/>
              </w:rPr>
            </w:pPr>
            <w:hyperlink r:id="rId36">
              <w:r>
                <w:rPr>
                  <w:rFonts w:ascii="Arial" w:cs="Arial" w:eastAsia="Arial" w:hAnsi="Arial"/>
                  <w:sz w:val="18"/>
                  <w:szCs w:val="18"/>
                  <w:color w:val="0000EE"/>
                  <w:w w:val="90"/>
                </w:rPr>
                <w:t>Ordinary Share Purchase Agreement dated September 6, 2017 by and among ACM Research, Inc., Ninebell Co., Ltd. and Moon-Soo Choi</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10.08#</w:t>
            </w:r>
          </w:p>
        </w:tc>
        <w:tc>
          <w:tcPr>
            <w:tcW w:w="780" w:type="dxa"/>
            <w:vAlign w:val="bottom"/>
          </w:tcPr>
          <w:p>
            <w:pPr>
              <w:spacing w:after="0"/>
              <w:rPr>
                <w:sz w:val="24"/>
                <w:szCs w:val="24"/>
                <w:color w:val="auto"/>
              </w:rPr>
            </w:pPr>
          </w:p>
        </w:tc>
        <w:tc>
          <w:tcPr>
            <w:tcW w:w="9940" w:type="dxa"/>
            <w:vAlign w:val="bottom"/>
            <w:tcBorders>
              <w:bottom w:val="single" w:sz="8" w:color="0000EE"/>
            </w:tcBorders>
            <w:gridSpan w:val="23"/>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Class A Common Stock Purchase Agreement dated September 6, 2017 by and among ACM Research, Inc., Ninebell Co., Ltd. and Moon-</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37">
              <w:r>
                <w:rPr>
                  <w:rFonts w:ascii="Arial" w:cs="Arial" w:eastAsia="Arial" w:hAnsi="Arial"/>
                  <w:sz w:val="18"/>
                  <w:szCs w:val="18"/>
                  <w:color w:val="0000EE"/>
                  <w:w w:val="89"/>
                </w:rPr>
                <w:t>Soo Choi</w:t>
              </w:r>
            </w:hyperlink>
          </w:p>
        </w:tc>
        <w:tc>
          <w:tcPr>
            <w:tcW w:w="93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10.09#</w:t>
            </w:r>
          </w:p>
        </w:tc>
        <w:tc>
          <w:tcPr>
            <w:tcW w:w="780" w:type="dxa"/>
            <w:vAlign w:val="bottom"/>
          </w:tcPr>
          <w:p>
            <w:pPr>
              <w:spacing w:after="0"/>
              <w:rPr>
                <w:sz w:val="24"/>
                <w:szCs w:val="24"/>
                <w:color w:val="auto"/>
              </w:rPr>
            </w:pPr>
          </w:p>
        </w:tc>
        <w:tc>
          <w:tcPr>
            <w:tcW w:w="9880" w:type="dxa"/>
            <w:vAlign w:val="bottom"/>
            <w:tcBorders>
              <w:bottom w:val="single" w:sz="8" w:color="0000EE"/>
            </w:tcBorders>
            <w:gridSpan w:val="22"/>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Form of Second Amended and Restated Registration Rights Agreement to be entered into between ACM Research, Inc. and certain of its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stockholders</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6060" w:type="dxa"/>
            <w:vAlign w:val="bottom"/>
            <w:gridSpan w:val="1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10.10#</w:t>
            </w:r>
          </w:p>
        </w:tc>
        <w:tc>
          <w:tcPr>
            <w:tcW w:w="780" w:type="dxa"/>
            <w:vAlign w:val="bottom"/>
          </w:tcPr>
          <w:p>
            <w:pPr>
              <w:spacing w:after="0"/>
              <w:rPr>
                <w:sz w:val="24"/>
                <w:szCs w:val="24"/>
                <w:color w:val="auto"/>
              </w:rPr>
            </w:pPr>
          </w:p>
        </w:tc>
        <w:tc>
          <w:tcPr>
            <w:tcW w:w="9940" w:type="dxa"/>
            <w:vAlign w:val="bottom"/>
            <w:tcBorders>
              <w:bottom w:val="single" w:sz="8" w:color="0000EE"/>
            </w:tcBorders>
            <w:gridSpan w:val="23"/>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Stock Purchase Agreement, dated October 11, 2017, by and among ACM Research, Inc., Xunxin (Shanghai) Capital Co., Limited, Xinxin</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(Hongkong) Capital Co., Limited and David H. Wang</w:t>
              </w:r>
            </w:hyperlink>
          </w:p>
        </w:tc>
        <w:tc>
          <w:tcPr>
            <w:tcW w:w="61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274"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spacing w:after="0"/>
              <w:rPr>
                <w:sz w:val="14"/>
                <w:szCs w:val="14"/>
                <w:color w:val="auto"/>
              </w:rPr>
            </w:pPr>
          </w:p>
        </w:tc>
        <w:tc>
          <w:tcPr>
            <w:tcW w:w="508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08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820" w:type="dxa"/>
            <w:vAlign w:val="bottom"/>
          </w:tcPr>
          <w:p>
            <w:pPr>
              <w:spacing w:after="0"/>
              <w:rPr>
                <w:sz w:val="24"/>
                <w:szCs w:val="24"/>
                <w:color w:val="auto"/>
              </w:rPr>
            </w:pPr>
          </w:p>
        </w:tc>
        <w:tc>
          <w:tcPr>
            <w:tcW w:w="8560" w:type="dxa"/>
            <w:vAlign w:val="bottom"/>
            <w:tcBorders>
              <w:bottom w:val="single" w:sz="8" w:color="0000EE"/>
            </w:tcBorders>
            <w:gridSpan w:val="21"/>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Stock Purchase Agreement, dated October 16, 2017, by and between ACM Research, Inc. and Victorious Way Limited</w:t>
              </w:r>
            </w:hyperlink>
          </w:p>
        </w:tc>
        <w:tc>
          <w:tcPr>
            <w:tcW w:w="1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10.12#</w:t>
            </w:r>
          </w:p>
        </w:tc>
        <w:tc>
          <w:tcPr>
            <w:tcW w:w="820" w:type="dxa"/>
            <w:vAlign w:val="bottom"/>
          </w:tcPr>
          <w:p>
            <w:pPr>
              <w:spacing w:after="0"/>
              <w:rPr>
                <w:sz w:val="24"/>
                <w:szCs w:val="24"/>
                <w:color w:val="auto"/>
              </w:rPr>
            </w:pPr>
          </w:p>
        </w:tc>
        <w:tc>
          <w:tcPr>
            <w:tcW w:w="9700" w:type="dxa"/>
            <w:vAlign w:val="bottom"/>
            <w:tcBorders>
              <w:bottom w:val="single" w:sz="8" w:color="0000EE"/>
            </w:tcBorders>
            <w:gridSpan w:val="26"/>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Nomination and Voting Agreement, dated October 11, 2017, by and among Xinxin (Hongkong) Capital Co., Limited, ACM Research,</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Inc., David H. Wang, and the individuals named therein</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10.13#</w:t>
            </w:r>
          </w:p>
        </w:tc>
        <w:tc>
          <w:tcPr>
            <w:tcW w:w="820" w:type="dxa"/>
            <w:vAlign w:val="bottom"/>
          </w:tcPr>
          <w:p>
            <w:pPr>
              <w:spacing w:after="0"/>
              <w:rPr>
                <w:sz w:val="24"/>
                <w:szCs w:val="24"/>
                <w:color w:val="auto"/>
              </w:rPr>
            </w:pPr>
          </w:p>
        </w:tc>
        <w:tc>
          <w:tcPr>
            <w:tcW w:w="9400" w:type="dxa"/>
            <w:vAlign w:val="bottom"/>
            <w:tcBorders>
              <w:bottom w:val="single" w:sz="8" w:color="0000EE"/>
            </w:tcBorders>
            <w:gridSpan w:val="23"/>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Voting Agreement, dated March 23, 2017, by and among Shanghai Technology Venture Capital Co., Ltd. (also known as Shanghai</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5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Science and Technology Venture Capital Co., Ltd.) and ACM Research, Inc.</w:t>
              </w:r>
            </w:hyperlink>
          </w:p>
        </w:tc>
        <w:tc>
          <w:tcPr>
            <w:tcW w:w="4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10.14+#</w:t>
            </w:r>
          </w:p>
        </w:tc>
        <w:tc>
          <w:tcPr>
            <w:tcW w:w="820" w:type="dxa"/>
            <w:vAlign w:val="bottom"/>
          </w:tcPr>
          <w:p>
            <w:pPr>
              <w:spacing w:after="0"/>
              <w:rPr>
                <w:sz w:val="24"/>
                <w:szCs w:val="24"/>
                <w:color w:val="auto"/>
              </w:rPr>
            </w:pPr>
          </w:p>
        </w:tc>
        <w:tc>
          <w:tcPr>
            <w:tcW w:w="3860" w:type="dxa"/>
            <w:vAlign w:val="bottom"/>
            <w:tcBorders>
              <w:bottom w:val="single" w:sz="8" w:color="0000EE"/>
            </w:tcBorders>
            <w:gridSpan w:val="6"/>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2016 Omnibus Incentive Plan of ACM Research, Inc.</w:t>
              </w:r>
            </w:hyperlink>
          </w:p>
        </w:tc>
        <w:tc>
          <w:tcPr>
            <w:tcW w:w="58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10.14(a)+#</w:t>
            </w:r>
          </w:p>
        </w:tc>
        <w:tc>
          <w:tcPr>
            <w:tcW w:w="9700" w:type="dxa"/>
            <w:vAlign w:val="bottom"/>
            <w:gridSpan w:val="26"/>
          </w:tcPr>
          <w:p>
            <w:pPr>
              <w:spacing w:after="0"/>
              <w:rPr>
                <w:rFonts w:ascii="Arial" w:cs="Arial" w:eastAsia="Arial" w:hAnsi="Arial"/>
                <w:sz w:val="18"/>
                <w:szCs w:val="18"/>
                <w:color w:val="0000EE"/>
              </w:rPr>
            </w:pPr>
            <w:hyperlink r:id="rId44">
              <w:r>
                <w:rPr>
                  <w:rFonts w:ascii="Arial" w:cs="Arial" w:eastAsia="Arial" w:hAnsi="Arial"/>
                  <w:sz w:val="18"/>
                  <w:szCs w:val="18"/>
                  <w:color w:val="0000EE"/>
                </w:rPr>
                <w:t>Form of Incentive Stock Option Grant Notice and Agreement under 2016 Omnibus Incentive Plan</w:t>
              </w:r>
            </w:hyperlink>
          </w:p>
        </w:tc>
        <w:tc>
          <w:tcPr>
            <w:tcW w:w="0" w:type="dxa"/>
            <w:vAlign w:val="bottom"/>
          </w:tcPr>
          <w:p>
            <w:pPr>
              <w:spacing w:after="0"/>
              <w:rPr>
                <w:sz w:val="1"/>
                <w:szCs w:val="1"/>
                <w:color w:val="auto"/>
              </w:rPr>
            </w:pPr>
          </w:p>
        </w:tc>
      </w:tr>
      <w:tr>
        <w:trPr>
          <w:trHeight w:val="20"/>
        </w:trPr>
        <w:tc>
          <w:tcPr>
            <w:tcW w:w="1460" w:type="dxa"/>
            <w:vAlign w:val="bottom"/>
            <w:gridSpan w:val="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10.14(b)+#</w:t>
            </w:r>
          </w:p>
        </w:tc>
        <w:tc>
          <w:tcPr>
            <w:tcW w:w="9700" w:type="dxa"/>
            <w:vAlign w:val="bottom"/>
            <w:gridSpan w:val="26"/>
          </w:tcPr>
          <w:p>
            <w:pPr>
              <w:spacing w:after="0"/>
              <w:rPr>
                <w:rFonts w:ascii="Arial" w:cs="Arial" w:eastAsia="Arial" w:hAnsi="Arial"/>
                <w:sz w:val="18"/>
                <w:szCs w:val="18"/>
                <w:color w:val="0000EE"/>
              </w:rPr>
            </w:pPr>
            <w:hyperlink r:id="rId45">
              <w:r>
                <w:rPr>
                  <w:rFonts w:ascii="Arial" w:cs="Arial" w:eastAsia="Arial" w:hAnsi="Arial"/>
                  <w:sz w:val="18"/>
                  <w:szCs w:val="18"/>
                  <w:color w:val="0000EE"/>
                </w:rPr>
                <w:t>Form of Non-qualified Stock Option Grant Notice and Agreement under 2016 Omnibus Incentive Plan</w:t>
              </w:r>
            </w:hyperlink>
          </w:p>
        </w:tc>
        <w:tc>
          <w:tcPr>
            <w:tcW w:w="0" w:type="dxa"/>
            <w:vAlign w:val="bottom"/>
          </w:tcPr>
          <w:p>
            <w:pPr>
              <w:spacing w:after="0"/>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10.14(c)+#</w:t>
            </w:r>
          </w:p>
        </w:tc>
        <w:tc>
          <w:tcPr>
            <w:tcW w:w="7400" w:type="dxa"/>
            <w:vAlign w:val="bottom"/>
            <w:tcBorders>
              <w:top w:val="single" w:sz="8" w:color="0000EE"/>
            </w:tcBorders>
            <w:gridSpan w:val="20"/>
          </w:tcPr>
          <w:p>
            <w:pPr>
              <w:spacing w:after="0"/>
              <w:rPr>
                <w:rFonts w:ascii="Arial" w:cs="Arial" w:eastAsia="Arial" w:hAnsi="Arial"/>
                <w:sz w:val="18"/>
                <w:szCs w:val="18"/>
                <w:color w:val="0000EE"/>
                <w:w w:val="97"/>
              </w:rPr>
            </w:pPr>
            <w:hyperlink r:id="rId46">
              <w:r>
                <w:rPr>
                  <w:rFonts w:ascii="Arial" w:cs="Arial" w:eastAsia="Arial" w:hAnsi="Arial"/>
                  <w:sz w:val="18"/>
                  <w:szCs w:val="18"/>
                  <w:color w:val="0000EE"/>
                  <w:w w:val="97"/>
                </w:rPr>
                <w:t>Form of Restricted Stock Unit Grant Notice and Agreement under 2016 Omnibus Incentive Plan</w:t>
              </w:r>
            </w:hyperlink>
          </w:p>
        </w:tc>
        <w:tc>
          <w:tcPr>
            <w:tcW w:w="2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10.15+#</w:t>
            </w:r>
          </w:p>
        </w:tc>
        <w:tc>
          <w:tcPr>
            <w:tcW w:w="820" w:type="dxa"/>
            <w:vAlign w:val="bottom"/>
          </w:tcPr>
          <w:p>
            <w:pPr>
              <w:spacing w:after="0"/>
              <w:rPr>
                <w:sz w:val="24"/>
                <w:szCs w:val="24"/>
                <w:color w:val="auto"/>
              </w:rPr>
            </w:pPr>
          </w:p>
        </w:tc>
        <w:tc>
          <w:tcPr>
            <w:tcW w:w="6940" w:type="dxa"/>
            <w:vAlign w:val="bottom"/>
            <w:tcBorders>
              <w:top w:val="single" w:sz="8" w:color="0000EE"/>
            </w:tcBorders>
            <w:gridSpan w:val="17"/>
          </w:tcPr>
          <w:p>
            <w:pPr>
              <w:spacing w:after="0"/>
              <w:rPr>
                <w:rFonts w:ascii="Arial" w:cs="Arial" w:eastAsia="Arial" w:hAnsi="Arial"/>
                <w:sz w:val="18"/>
                <w:szCs w:val="18"/>
                <w:color w:val="0000EE"/>
              </w:rPr>
            </w:pPr>
            <w:hyperlink r:id="rId47">
              <w:r>
                <w:rPr>
                  <w:rFonts w:ascii="Arial" w:cs="Arial" w:eastAsia="Arial" w:hAnsi="Arial"/>
                  <w:sz w:val="18"/>
                  <w:szCs w:val="18"/>
                  <w:color w:val="0000EE"/>
                </w:rPr>
                <w:t>Form of Nonstatutory Stock Option Agreement of ACM Research, Inc.</w:t>
              </w:r>
            </w:hyperlink>
          </w:p>
        </w:tc>
        <w:tc>
          <w:tcPr>
            <w:tcW w:w="2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10.16+#</w:t>
            </w:r>
          </w:p>
        </w:tc>
        <w:tc>
          <w:tcPr>
            <w:tcW w:w="820" w:type="dxa"/>
            <w:vAlign w:val="bottom"/>
          </w:tcPr>
          <w:p>
            <w:pPr>
              <w:spacing w:after="0"/>
              <w:rPr>
                <w:sz w:val="24"/>
                <w:szCs w:val="24"/>
                <w:color w:val="auto"/>
              </w:rPr>
            </w:pPr>
          </w:p>
        </w:tc>
        <w:tc>
          <w:tcPr>
            <w:tcW w:w="3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1998 Stock Option Plan of ACM Research, Inc.</w:t>
              </w:r>
            </w:hyperlink>
          </w:p>
        </w:tc>
        <w:tc>
          <w:tcPr>
            <w:tcW w:w="1680" w:type="dxa"/>
            <w:vAlign w:val="bottom"/>
            <w:tcBorders>
              <w:top w:val="single" w:sz="8" w:color="0000EE"/>
            </w:tcBorders>
            <w:gridSpan w:val="5"/>
          </w:tcPr>
          <w:p>
            <w:pPr>
              <w:spacing w:after="0"/>
              <w:rPr>
                <w:sz w:val="24"/>
                <w:szCs w:val="24"/>
                <w:color w:val="auto"/>
              </w:rPr>
            </w:pPr>
          </w:p>
        </w:tc>
        <w:tc>
          <w:tcPr>
            <w:tcW w:w="45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10.16(a)+#</w:t>
            </w:r>
          </w:p>
        </w:tc>
        <w:tc>
          <w:tcPr>
            <w:tcW w:w="9700" w:type="dxa"/>
            <w:vAlign w:val="bottom"/>
            <w:gridSpan w:val="26"/>
          </w:tcPr>
          <w:p>
            <w:pPr>
              <w:spacing w:after="0"/>
              <w:rPr>
                <w:rFonts w:ascii="Arial" w:cs="Arial" w:eastAsia="Arial" w:hAnsi="Arial"/>
                <w:sz w:val="18"/>
                <w:szCs w:val="18"/>
                <w:color w:val="0000EE"/>
              </w:rPr>
            </w:pPr>
            <w:hyperlink r:id="rId49">
              <w:r>
                <w:rPr>
                  <w:rFonts w:ascii="Arial" w:cs="Arial" w:eastAsia="Arial" w:hAnsi="Arial"/>
                  <w:sz w:val="18"/>
                  <w:szCs w:val="18"/>
                  <w:color w:val="0000EE"/>
                </w:rPr>
                <w:t>Form of Incentive Stock Option Agreement under 1998 Stock Option Plan</w:t>
              </w:r>
            </w:hyperlink>
          </w:p>
        </w:tc>
        <w:tc>
          <w:tcPr>
            <w:tcW w:w="0" w:type="dxa"/>
            <w:vAlign w:val="bottom"/>
          </w:tcPr>
          <w:p>
            <w:pPr>
              <w:spacing w:after="0"/>
              <w:rPr>
                <w:sz w:val="1"/>
                <w:szCs w:val="1"/>
                <w:color w:val="auto"/>
              </w:rPr>
            </w:pPr>
          </w:p>
        </w:tc>
      </w:tr>
      <w:tr>
        <w:trPr>
          <w:trHeight w:val="20"/>
        </w:trPr>
        <w:tc>
          <w:tcPr>
            <w:tcW w:w="1460" w:type="dxa"/>
            <w:vAlign w:val="bottom"/>
            <w:gridSpan w:val="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10.16(b)+#</w:t>
            </w:r>
          </w:p>
        </w:tc>
        <w:tc>
          <w:tcPr>
            <w:tcW w:w="5700" w:type="dxa"/>
            <w:vAlign w:val="bottom"/>
            <w:tcBorders>
              <w:bottom w:val="single" w:sz="8" w:color="0000EE"/>
            </w:tcBorders>
            <w:gridSpan w:val="15"/>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Form of Non-statutory Stock Option Agreement under 1998 Stock Option Plan</w:t>
              </w:r>
            </w:hyperlink>
          </w:p>
        </w:tc>
        <w:tc>
          <w:tcPr>
            <w:tcW w:w="40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10.17#</w:t>
            </w:r>
          </w:p>
        </w:tc>
        <w:tc>
          <w:tcPr>
            <w:tcW w:w="82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w w:val="99"/>
              </w:rPr>
            </w:pPr>
            <w:hyperlink r:id="rId51">
              <w:r>
                <w:rPr>
                  <w:rFonts w:ascii="Arial" w:cs="Arial" w:eastAsia="Arial" w:hAnsi="Arial"/>
                  <w:sz w:val="18"/>
                  <w:szCs w:val="18"/>
                  <w:color w:val="0000EE"/>
                  <w:w w:val="99"/>
                </w:rPr>
                <w:t>Form of Indemnification Agreement to be entered into between ACM Research, Inc. and certain of its directors and officers</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10.18+#</w:t>
            </w:r>
          </w:p>
        </w:tc>
        <w:tc>
          <w:tcPr>
            <w:tcW w:w="820" w:type="dxa"/>
            <w:vAlign w:val="bottom"/>
          </w:tcPr>
          <w:p>
            <w:pPr>
              <w:spacing w:after="0"/>
              <w:rPr>
                <w:sz w:val="24"/>
                <w:szCs w:val="24"/>
                <w:color w:val="auto"/>
              </w:rPr>
            </w:pPr>
          </w:p>
        </w:tc>
        <w:tc>
          <w:tcPr>
            <w:tcW w:w="8900" w:type="dxa"/>
            <w:vAlign w:val="bottom"/>
            <w:tcBorders>
              <w:top w:val="single" w:sz="8" w:color="0000EE"/>
            </w:tcBorders>
            <w:gridSpan w:val="22"/>
          </w:tcPr>
          <w:p>
            <w:pPr>
              <w:spacing w:after="0"/>
              <w:rPr>
                <w:rFonts w:ascii="Arial" w:cs="Arial" w:eastAsia="Arial" w:hAnsi="Arial"/>
                <w:sz w:val="18"/>
                <w:szCs w:val="18"/>
                <w:color w:val="0000EE"/>
              </w:rPr>
            </w:pPr>
            <w:hyperlink r:id="rId52">
              <w:r>
                <w:rPr>
                  <w:rFonts w:ascii="Arial" w:cs="Arial" w:eastAsia="Arial" w:hAnsi="Arial"/>
                  <w:sz w:val="18"/>
                  <w:szCs w:val="18"/>
                  <w:color w:val="0000EE"/>
                </w:rPr>
                <w:t>Executive Retention Agreement dated November 14, 2016 between ACM Research, Inc. and Min Xu</w:t>
              </w:r>
            </w:hyperlink>
          </w:p>
        </w:tc>
        <w:tc>
          <w:tcPr>
            <w:tcW w:w="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10.19#</w:t>
            </w:r>
          </w:p>
        </w:tc>
        <w:tc>
          <w:tcPr>
            <w:tcW w:w="82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Line of Credit Agreement dated August 21, 2017 between ACM Research (Shanghai), Inc. and Shanghai Pudong Development Zone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Branch of Bank of China Limited</w:t>
              </w:r>
            </w:hyperlink>
          </w:p>
        </w:tc>
        <w:tc>
          <w:tcPr>
            <w:tcW w:w="7160" w:type="dxa"/>
            <w:vAlign w:val="bottom"/>
            <w:tcBorders>
              <w:top w:val="single" w:sz="8" w:color="0000EE"/>
            </w:tcBorders>
            <w:gridSpan w:val="22"/>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10.20#</w:t>
            </w:r>
          </w:p>
        </w:tc>
        <w:tc>
          <w:tcPr>
            <w:tcW w:w="820" w:type="dxa"/>
            <w:vAlign w:val="bottom"/>
          </w:tcPr>
          <w:p>
            <w:pPr>
              <w:spacing w:after="0"/>
              <w:rPr>
                <w:sz w:val="24"/>
                <w:szCs w:val="24"/>
                <w:color w:val="auto"/>
              </w:rPr>
            </w:pPr>
          </w:p>
        </w:tc>
        <w:tc>
          <w:tcPr>
            <w:tcW w:w="9460" w:type="dxa"/>
            <w:vAlign w:val="bottom"/>
            <w:tcBorders>
              <w:bottom w:val="single" w:sz="8" w:color="0000EE"/>
            </w:tcBorders>
            <w:gridSpan w:val="24"/>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Line of Credit Agreement dated August 21, 2017 between ACM Research (Shanghai), Inc. and Bank of Shanghai Co., Ltd. Pudong</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54">
              <w:r>
                <w:rPr>
                  <w:rFonts w:ascii="Arial" w:cs="Arial" w:eastAsia="Arial" w:hAnsi="Arial"/>
                  <w:sz w:val="18"/>
                  <w:szCs w:val="18"/>
                  <w:color w:val="0000EE"/>
                  <w:w w:val="87"/>
                </w:rPr>
                <w:t>Branch</w:t>
              </w:r>
            </w:hyperlink>
          </w:p>
        </w:tc>
        <w:tc>
          <w:tcPr>
            <w:tcW w:w="9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21.01#</w:t>
            </w:r>
          </w:p>
        </w:tc>
        <w:tc>
          <w:tcPr>
            <w:tcW w:w="820" w:type="dxa"/>
            <w:vAlign w:val="bottom"/>
          </w:tcPr>
          <w:p>
            <w:pPr>
              <w:spacing w:after="0"/>
              <w:rPr>
                <w:sz w:val="24"/>
                <w:szCs w:val="24"/>
                <w:color w:val="auto"/>
              </w:rPr>
            </w:pPr>
          </w:p>
        </w:tc>
        <w:tc>
          <w:tcPr>
            <w:tcW w:w="3120" w:type="dxa"/>
            <w:vAlign w:val="bottom"/>
            <w:tcBorders>
              <w:bottom w:val="single" w:sz="8" w:color="0000EE"/>
            </w:tcBorders>
            <w:gridSpan w:val="4"/>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List of Subsidiaries of ACM Research, Inc.</w:t>
              </w:r>
            </w:hyperlink>
          </w:p>
        </w:tc>
        <w:tc>
          <w:tcPr>
            <w:tcW w:w="65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23.01#</w:t>
            </w:r>
          </w:p>
        </w:tc>
        <w:tc>
          <w:tcPr>
            <w:tcW w:w="82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rPr>
            </w:pPr>
            <w:hyperlink r:id="rId56">
              <w:r>
                <w:rPr>
                  <w:rFonts w:ascii="Arial" w:cs="Arial" w:eastAsia="Arial" w:hAnsi="Arial"/>
                  <w:sz w:val="18"/>
                  <w:szCs w:val="18"/>
                  <w:color w:val="0000EE"/>
                </w:rPr>
                <w:t>Consent of BDO China Shu Lan Pan Certified Public Accountants LLP</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23.02</w:t>
            </w:r>
          </w:p>
        </w:tc>
        <w:tc>
          <w:tcPr>
            <w:tcW w:w="820" w:type="dxa"/>
            <w:vAlign w:val="bottom"/>
          </w:tcPr>
          <w:p>
            <w:pPr>
              <w:spacing w:after="0"/>
              <w:rPr>
                <w:sz w:val="24"/>
                <w:szCs w:val="24"/>
                <w:color w:val="auto"/>
              </w:rPr>
            </w:pPr>
          </w:p>
        </w:tc>
        <w:tc>
          <w:tcPr>
            <w:tcW w:w="51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Consent of K&amp;L Gates LLP (included in Exhibit 5.01)</w:t>
            </w:r>
          </w:p>
        </w:tc>
        <w:tc>
          <w:tcPr>
            <w:tcW w:w="45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3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24.01#</w:t>
            </w:r>
          </w:p>
        </w:tc>
        <w:tc>
          <w:tcPr>
            <w:tcW w:w="82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rPr>
            </w:pPr>
            <w:hyperlink r:id="rId57">
              <w:r>
                <w:rPr>
                  <w:rFonts w:ascii="Arial" w:cs="Arial" w:eastAsia="Arial" w:hAnsi="Arial"/>
                  <w:sz w:val="18"/>
                  <w:szCs w:val="18"/>
                  <w:color w:val="0000EE"/>
                </w:rPr>
                <w:t>Power of Attorney (included on signature page of Form S-1 filed on September 13, 2017)</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99.01#</w:t>
            </w:r>
          </w:p>
        </w:tc>
        <w:tc>
          <w:tcPr>
            <w:tcW w:w="820" w:type="dxa"/>
            <w:vAlign w:val="bottom"/>
          </w:tcPr>
          <w:p>
            <w:pPr>
              <w:spacing w:after="0"/>
              <w:rPr>
                <w:sz w:val="24"/>
                <w:szCs w:val="24"/>
                <w:color w:val="auto"/>
              </w:rPr>
            </w:pP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r:id="rId58">
              <w:r>
                <w:rPr>
                  <w:rFonts w:ascii="Arial" w:cs="Arial" w:eastAsia="Arial" w:hAnsi="Arial"/>
                  <w:sz w:val="18"/>
                  <w:szCs w:val="18"/>
                  <w:color w:val="0000EE"/>
                </w:rPr>
                <w:t>Consent of Director Nominee</w:t>
              </w:r>
            </w:hyperlink>
          </w:p>
        </w:tc>
        <w:tc>
          <w:tcPr>
            <w:tcW w:w="3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Consolidated Financial Statement Schedules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253" w:right="439" w:bottom="1440" w:gutter="0" w:footer="0" w:header="0"/>
        </w:sectPr>
      </w:pPr>
    </w:p>
    <w:bookmarkStart w:id="6" w:name="page7"/>
    <w:bookmarkEnd w:id="6"/>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20" w:hanging="446"/>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6"/>
          <w:szCs w:val="16"/>
          <w:color w:val="auto"/>
        </w:rPr>
        <w:t>(4) or 497(h) under the Securities Act of 1933 shall be deemed to be part of this registration statement as of the time it was declared effective.</w:t>
      </w:r>
    </w:p>
    <w:p>
      <w:pPr>
        <w:spacing w:after="0" w:line="13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274" w:right="279" w:bottom="1440" w:gutter="0" w:footer="0" w:header="0"/>
        </w:sectPr>
      </w:pPr>
    </w:p>
    <w:bookmarkStart w:id="7" w:name="page8"/>
    <w:bookmarkEnd w:id="7"/>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Fremont, State of California, on November 2,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ACM RESEARCH, INC.</w:t>
      </w:r>
    </w:p>
    <w:p>
      <w:pPr>
        <w:spacing w:after="0" w:line="33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w:t>
      </w:r>
      <w:r>
        <w:rPr>
          <w:rFonts w:ascii="Arial" w:cs="Arial" w:eastAsia="Arial" w:hAnsi="Arial"/>
          <w:sz w:val="15"/>
          <w:szCs w:val="15"/>
          <w:color w:val="auto"/>
        </w:rPr>
        <w:t>S</w:t>
      </w:r>
      <w:r>
        <w:rPr>
          <w:rFonts w:ascii="Arial" w:cs="Arial" w:eastAsia="Arial" w:hAnsi="Arial"/>
          <w:sz w:val="18"/>
          <w:szCs w:val="18"/>
          <w:color w:val="auto"/>
        </w:rPr>
        <w:t>/ D</w:t>
      </w:r>
      <w:r>
        <w:rPr>
          <w:rFonts w:ascii="Arial" w:cs="Arial" w:eastAsia="Arial" w:hAnsi="Arial"/>
          <w:sz w:val="15"/>
          <w:szCs w:val="15"/>
          <w:color w:val="auto"/>
        </w:rPr>
        <w:t>AVID</w:t>
      </w:r>
      <w:r>
        <w:rPr>
          <w:rFonts w:ascii="Arial" w:cs="Arial" w:eastAsia="Arial" w:hAnsi="Arial"/>
          <w:sz w:val="18"/>
          <w:szCs w:val="18"/>
          <w:color w:val="auto"/>
        </w:rPr>
        <w:t xml:space="preserve"> H. W</w:t>
      </w:r>
      <w:r>
        <w:rPr>
          <w:rFonts w:ascii="Arial" w:cs="Arial" w:eastAsia="Arial" w:hAnsi="Arial"/>
          <w:sz w:val="15"/>
          <w:szCs w:val="15"/>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November 2,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60" w:type="dxa"/>
            <w:vAlign w:val="bottom"/>
          </w:tcPr>
          <w:p>
            <w:pPr>
              <w:spacing w:after="0"/>
              <w:rPr>
                <w:sz w:val="14"/>
                <w:szCs w:val="14"/>
                <w:color w:val="auto"/>
              </w:rPr>
            </w:pPr>
          </w:p>
        </w:tc>
      </w:tr>
      <w:tr>
        <w:trPr>
          <w:trHeight w:val="426"/>
        </w:trPr>
        <w:tc>
          <w:tcPr>
            <w:tcW w:w="9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jc w:val="center"/>
              <w:ind w:right="92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D</w:t>
            </w:r>
            <w:r>
              <w:rPr>
                <w:rFonts w:ascii="Arial" w:cs="Arial" w:eastAsia="Arial" w:hAnsi="Arial"/>
                <w:sz w:val="15"/>
                <w:szCs w:val="15"/>
                <w:color w:val="auto"/>
                <w:w w:val="98"/>
              </w:rPr>
              <w:t>AVID</w:t>
            </w:r>
            <w:r>
              <w:rPr>
                <w:rFonts w:ascii="Arial" w:cs="Arial" w:eastAsia="Arial" w:hAnsi="Arial"/>
                <w:sz w:val="18"/>
                <w:szCs w:val="18"/>
                <w:color w:val="auto"/>
                <w:w w:val="98"/>
              </w:rPr>
              <w:t xml:space="preserve"> H. W</w:t>
            </w:r>
            <w:r>
              <w:rPr>
                <w:rFonts w:ascii="Arial" w:cs="Arial" w:eastAsia="Arial" w:hAnsi="Arial"/>
                <w:sz w:val="15"/>
                <w:szCs w:val="15"/>
                <w:color w:val="auto"/>
                <w:w w:val="98"/>
              </w:rPr>
              <w:t>ANG</w:t>
            </w: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w w:val="91"/>
              </w:rPr>
              <w:t>Chief Executive Officer, President and Director</w:t>
            </w:r>
          </w:p>
        </w:tc>
      </w:tr>
      <w:tr>
        <w:trPr>
          <w:trHeight w:val="228"/>
        </w:trPr>
        <w:tc>
          <w:tcPr>
            <w:tcW w:w="940" w:type="dxa"/>
            <w:vAlign w:val="bottom"/>
          </w:tcPr>
          <w:p>
            <w:pPr>
              <w:spacing w:after="0"/>
              <w:rPr>
                <w:sz w:val="19"/>
                <w:szCs w:val="19"/>
                <w:color w:val="auto"/>
              </w:rPr>
            </w:pPr>
          </w:p>
        </w:tc>
        <w:tc>
          <w:tcPr>
            <w:tcW w:w="42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3"/>
              </w:rPr>
              <w:t>David H. Wang</w:t>
            </w: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27"/>
        </w:trPr>
        <w:tc>
          <w:tcPr>
            <w:tcW w:w="9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jc w:val="center"/>
              <w:ind w:right="94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M</w:t>
            </w:r>
            <w:r>
              <w:rPr>
                <w:rFonts w:ascii="Arial" w:cs="Arial" w:eastAsia="Arial" w:hAnsi="Arial"/>
                <w:sz w:val="15"/>
                <w:szCs w:val="15"/>
                <w:color w:val="auto"/>
                <w:w w:val="98"/>
              </w:rPr>
              <w:t>IN</w:t>
            </w:r>
            <w:r>
              <w:rPr>
                <w:rFonts w:ascii="Arial" w:cs="Arial" w:eastAsia="Arial" w:hAnsi="Arial"/>
                <w:sz w:val="18"/>
                <w:szCs w:val="18"/>
                <w:color w:val="auto"/>
                <w:w w:val="98"/>
              </w:rPr>
              <w:t xml:space="preserve"> X</w:t>
            </w:r>
            <w:r>
              <w:rPr>
                <w:rFonts w:ascii="Arial" w:cs="Arial" w:eastAsia="Arial" w:hAnsi="Arial"/>
                <w:sz w:val="15"/>
                <w:szCs w:val="15"/>
                <w:color w:val="auto"/>
                <w:w w:val="98"/>
              </w:rPr>
              <w:t>U</w:t>
            </w: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Treasurer</w:t>
            </w:r>
          </w:p>
        </w:tc>
      </w:tr>
      <w:tr>
        <w:trPr>
          <w:trHeight w:val="228"/>
        </w:trPr>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8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rPr>
              <w:t>Min Xu</w:t>
            </w: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i w:val="1"/>
                <w:iCs w:val="1"/>
                <w:color w:val="auto"/>
                <w:w w:val="98"/>
              </w:rPr>
              <w:t>Principal Financial and Accounting Officer</w:t>
            </w:r>
            <w:r>
              <w:rPr>
                <w:rFonts w:ascii="Arial" w:cs="Arial" w:eastAsia="Arial" w:hAnsi="Arial"/>
                <w:sz w:val="18"/>
                <w:szCs w:val="18"/>
                <w:color w:val="auto"/>
                <w:w w:val="98"/>
              </w:rPr>
              <w:t>)</w:t>
            </w:r>
          </w:p>
        </w:tc>
      </w:tr>
      <w:tr>
        <w:trPr>
          <w:trHeight w:val="427"/>
        </w:trPr>
        <w:tc>
          <w:tcPr>
            <w:tcW w:w="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left="125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spacing w:after="0"/>
              <w:rPr>
                <w:sz w:val="24"/>
                <w:szCs w:val="24"/>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940" w:type="dxa"/>
            <w:vAlign w:val="bottom"/>
          </w:tcPr>
          <w:p>
            <w:pPr>
              <w:spacing w:after="0"/>
              <w:rPr>
                <w:sz w:val="19"/>
                <w:szCs w:val="19"/>
                <w:color w:val="auto"/>
              </w:rPr>
            </w:pPr>
          </w:p>
        </w:tc>
        <w:tc>
          <w:tcPr>
            <w:tcW w:w="42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4"/>
              </w:rPr>
              <w:t>Haiping Dun</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left="125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spacing w:after="0"/>
              <w:rPr>
                <w:sz w:val="24"/>
                <w:szCs w:val="24"/>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940" w:type="dxa"/>
            <w:vAlign w:val="bottom"/>
          </w:tcPr>
          <w:p>
            <w:pPr>
              <w:spacing w:after="0"/>
              <w:rPr>
                <w:sz w:val="19"/>
                <w:szCs w:val="19"/>
                <w:color w:val="auto"/>
              </w:rPr>
            </w:pPr>
          </w:p>
        </w:tc>
        <w:tc>
          <w:tcPr>
            <w:tcW w:w="42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2"/>
              </w:rPr>
              <w:t>Chenming Hu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left="125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spacing w:after="0"/>
              <w:rPr>
                <w:sz w:val="24"/>
                <w:szCs w:val="24"/>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940" w:type="dxa"/>
            <w:vAlign w:val="bottom"/>
          </w:tcPr>
          <w:p>
            <w:pPr>
              <w:spacing w:after="0"/>
              <w:rPr>
                <w:sz w:val="19"/>
                <w:szCs w:val="19"/>
                <w:color w:val="auto"/>
              </w:rPr>
            </w:pPr>
          </w:p>
        </w:tc>
        <w:tc>
          <w:tcPr>
            <w:tcW w:w="42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4"/>
              </w:rPr>
              <w:t>Tracy Liu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Y</w:t>
            </w:r>
            <w:r>
              <w:rPr>
                <w:rFonts w:ascii="Arial" w:cs="Arial" w:eastAsia="Arial" w:hAnsi="Arial"/>
                <w:sz w:val="18"/>
                <w:szCs w:val="18"/>
                <w:color w:val="auto"/>
              </w:rPr>
              <w:t>:</w:t>
            </w:r>
          </w:p>
        </w:tc>
        <w:tc>
          <w:tcPr>
            <w:tcW w:w="42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IN</w:t>
            </w:r>
            <w:r>
              <w:rPr>
                <w:rFonts w:ascii="Arial" w:cs="Arial" w:eastAsia="Arial" w:hAnsi="Arial"/>
                <w:sz w:val="18"/>
                <w:szCs w:val="18"/>
                <w:color w:val="auto"/>
              </w:rPr>
              <w:t xml:space="preserve"> X</w:t>
            </w:r>
            <w:r>
              <w:rPr>
                <w:rFonts w:ascii="Arial" w:cs="Arial" w:eastAsia="Arial" w:hAnsi="Arial"/>
                <w:sz w:val="15"/>
                <w:szCs w:val="15"/>
                <w:color w:val="auto"/>
              </w:rPr>
              <w:t>U</w:t>
            </w: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5"/>
        </w:trPr>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80" w:type="dxa"/>
            <w:vAlign w:val="bottom"/>
            <w:gridSpan w:val="2"/>
          </w:tcPr>
          <w:p>
            <w:pPr>
              <w:jc w:val="center"/>
              <w:ind w:right="2280"/>
              <w:spacing w:after="0" w:line="195" w:lineRule="exact"/>
              <w:rPr>
                <w:sz w:val="20"/>
                <w:szCs w:val="20"/>
                <w:color w:val="auto"/>
              </w:rPr>
            </w:pPr>
            <w:r>
              <w:rPr>
                <w:rFonts w:ascii="Arial" w:cs="Arial" w:eastAsia="Arial" w:hAnsi="Arial"/>
                <w:sz w:val="18"/>
                <w:szCs w:val="18"/>
                <w:b w:val="1"/>
                <w:bCs w:val="1"/>
                <w:color w:val="auto"/>
              </w:rPr>
              <w:t>Min Xu</w:t>
            </w: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0"/>
        </w:trPr>
        <w:tc>
          <w:tcPr>
            <w:tcW w:w="940" w:type="dxa"/>
            <w:vAlign w:val="bottom"/>
          </w:tcPr>
          <w:p>
            <w:pPr>
              <w:spacing w:after="0"/>
              <w:rPr>
                <w:sz w:val="20"/>
                <w:szCs w:val="20"/>
                <w:color w:val="auto"/>
              </w:rPr>
            </w:pPr>
          </w:p>
        </w:tc>
        <w:tc>
          <w:tcPr>
            <w:tcW w:w="424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Attorney-in-Fact</w:t>
            </w: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8"/>
        </w:trPr>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40" w:type="dxa"/>
            <w:vAlign w:val="bottom"/>
            <w:gridSpan w:val="3"/>
          </w:tcPr>
          <w:p>
            <w:pPr>
              <w:ind w:left="40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60"/>
          </w:cols>
          <w:pgMar w:left="240" w:top="270"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8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Exhibit</w:t>
            </w:r>
          </w:p>
        </w:tc>
        <w:tc>
          <w:tcPr>
            <w:tcW w:w="5000" w:type="dxa"/>
            <w:vAlign w:val="bottom"/>
            <w:vMerge w:val="restart"/>
          </w:tcPr>
          <w:p>
            <w:pPr>
              <w:spacing w:after="0"/>
              <w:rPr>
                <w:sz w:val="24"/>
                <w:szCs w:val="24"/>
                <w:color w:val="auto"/>
              </w:rPr>
            </w:pPr>
          </w:p>
        </w:tc>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4"/>
                <w:szCs w:val="14"/>
                <w:color w:val="auto"/>
              </w:rPr>
            </w:pPr>
          </w:p>
        </w:tc>
        <w:tc>
          <w:tcPr>
            <w:tcW w:w="5000" w:type="dxa"/>
            <w:vAlign w:val="bottom"/>
            <w:vMerge w:val="continue"/>
          </w:tcPr>
          <w:p>
            <w:pPr>
              <w:spacing w:after="0"/>
              <w:rPr>
                <w:sz w:val="14"/>
                <w:szCs w:val="14"/>
                <w:color w:val="auto"/>
              </w:rPr>
            </w:pPr>
          </w:p>
        </w:tc>
        <w:tc>
          <w:tcPr>
            <w:tcW w:w="5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Underwriting Agreement to be entered into between ACM Research, Inc. and the underwriters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Certificate of Incorporation of ACM Research, Inc., as amended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3.02#</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Bylaws of ACM Research, Inc.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3.03#</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Restated Certificate of Incorporation (to be effective following completion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3.04#</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Restated Bylaws of ACM Research, Inc. (to be effective upon completion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4.01#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Specimen stock certificate evidencing Class A common stock of ACM Research, Inc.</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4.02</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Class A Common Stock Warrant of ACM Research, Inc. to be issued to the underwriters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5.01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Opinion of K&amp;L Gates LLP</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Lease dated March 22, 2017 between ACM Research, Inc. and D&amp;J Construction, Inc.</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10.02#</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Lease dated September 6, 2016 between ACM Research (Shanghai), Inc. and Shanghai Zhangjiang Group Co., Ltd.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10.03#</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5"/>
              </w:rPr>
              <w:t>Securities Purchase Agreement dated March 14, 2017 by and among ACM Research, Inc., Shengxin (Shanghai) Management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Consulting Limited Partnership and ACM Research (Shanghai), Inc.</w:t>
            </w:r>
          </w:p>
        </w:tc>
        <w:tc>
          <w:tcPr>
            <w:tcW w:w="0" w:type="dxa"/>
            <w:vAlign w:val="bottom"/>
          </w:tcPr>
          <w:p>
            <w:pPr>
              <w:spacing w:after="0"/>
              <w:rPr>
                <w:sz w:val="1"/>
                <w:szCs w:val="1"/>
                <w:color w:val="auto"/>
              </w:rPr>
            </w:pPr>
          </w:p>
        </w:tc>
      </w:tr>
      <w:tr>
        <w:trPr>
          <w:trHeight w:val="324"/>
        </w:trPr>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w w:val="88"/>
              </w:rPr>
              <w:t>10.03(a)#</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2"/>
              </w:rPr>
              <w:t>Warrant dated March 14, 2017 issued by ACM Research, Inc. to Shengxin (Shanghai) Management Consulting Limited Partnership</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10.04#</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1"/>
              </w:rPr>
              <w:t>Securities Purchase Agreement dated March 23, 2017 between ACM Research, Inc. and Shanghai Science and Technology Venture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Capital Co., Ltd., as amended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10.05#</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1"/>
              </w:rPr>
              <w:t>Securities Purchase Agreement dated August 31, 2017 by and among ACM Research, Inc., Shanghai Pudong High-Tech Investment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Co., Ltd. and Pudong Science and Technology (Cayman) Co., Ltd.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10.06#</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7"/>
              </w:rPr>
              <w:t>Securities Purchase Agreement dated August 31, 2017 by and among ACM Research, Inc., Shanghai Zhangjiang Science &amp;</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Technology Venture Capital Co., Ltd. and Zhangjiang AJ Company Limited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10.07#</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0"/>
              </w:rPr>
              <w:t>Ordinary Share Purchase Agreement dated September 6, 2017 by and among ACM Research, Inc., Ninebell Co., Ltd. and Moon-Soo</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Choi</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10.08#</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2"/>
              </w:rPr>
              <w:t>Class A Common Stock Purchase Agreement dated September 6, 2017 by and among ACM Research, Inc., Ninebell Co., Ltd. and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Moon-Soo Choi</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10.09#</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0"/>
              </w:rPr>
              <w:t>Form of Second Amended and Restated Registration Rights Agreement to be entered into between ACM Research, Inc. and certain of</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its stockholders</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10.10#</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3"/>
              </w:rPr>
              <w:t>Stock Purchase Agreement, dated October 11, 2017, by and among ACM Research, Inc., Xunxin (Shanghai) Capital Co., Limited,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Xinxin (Hongkong) Capital Co., Limited and David H. Wang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Stock Purchase Agreement, dated October 16, 2017, by and between ACM Research, Inc. and Victorious Way Limited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10.12#</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1"/>
              </w:rPr>
              <w:t>Nomination and Voting Agreement, dated October 11, 2017, by and among Xinxin (Hongkong) Capital Co., Limited, ACM Research,</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Inc., David H. Wang, and the individuals named therein</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10.13#</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2"/>
              </w:rPr>
              <w:t>Voting Agreement, dated March 23, 2017, by and among Shanghai Technology Venture Capital Co., Ltd. (also known as Shanghai</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Science and Technology Venture Capital Co., Ltd.) and ACM Research, Inc.</w:t>
            </w:r>
          </w:p>
        </w:tc>
        <w:tc>
          <w:tcPr>
            <w:tcW w:w="0" w:type="dxa"/>
            <w:vAlign w:val="bottom"/>
          </w:tcPr>
          <w:p>
            <w:pPr>
              <w:spacing w:after="0"/>
              <w:rPr>
                <w:sz w:val="1"/>
                <w:szCs w:val="1"/>
                <w:color w:val="auto"/>
              </w:rPr>
            </w:pPr>
          </w:p>
        </w:tc>
      </w:tr>
      <w:tr>
        <w:trPr>
          <w:trHeight w:val="324"/>
        </w:trPr>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w w:val="88"/>
              </w:rPr>
              <w:t>10.14+#</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2016 Omnibus Incentive Plan of ACM Research, Inc.</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160" w:type="dxa"/>
            <w:vAlign w:val="bottom"/>
            <w:gridSpan w:val="3"/>
          </w:tcPr>
          <w:p>
            <w:pPr>
              <w:ind w:left="4380"/>
              <w:spacing w:after="0"/>
              <w:rPr>
                <w:sz w:val="20"/>
                <w:szCs w:val="20"/>
                <w:color w:val="auto"/>
              </w:rPr>
            </w:pPr>
            <w:r>
              <w:rPr>
                <w:rFonts w:ascii="Arial" w:cs="Arial" w:eastAsia="Arial" w:hAnsi="Arial"/>
                <w:sz w:val="18"/>
                <w:szCs w:val="18"/>
                <w:color w:val="auto"/>
              </w:rPr>
              <w:t>II-7</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Exhibit</w:t>
            </w:r>
          </w:p>
        </w:tc>
        <w:tc>
          <w:tcPr>
            <w:tcW w:w="4940" w:type="dxa"/>
            <w:vAlign w:val="bottom"/>
            <w:vMerge w:val="restart"/>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66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gridSpan w:val="3"/>
          </w:tcPr>
          <w:p>
            <w:pPr>
              <w:spacing w:after="0"/>
              <w:rPr>
                <w:sz w:val="20"/>
                <w:szCs w:val="20"/>
                <w:color w:val="auto"/>
              </w:rPr>
            </w:pPr>
            <w:r>
              <w:rPr>
                <w:rFonts w:ascii="Arial" w:cs="Arial" w:eastAsia="Arial" w:hAnsi="Arial"/>
                <w:sz w:val="18"/>
                <w:szCs w:val="18"/>
                <w:color w:val="auto"/>
              </w:rPr>
              <w:t>10.14(a)+#</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324"/>
        </w:trPr>
        <w:tc>
          <w:tcPr>
            <w:tcW w:w="1300" w:type="dxa"/>
            <w:vAlign w:val="bottom"/>
            <w:gridSpan w:val="3"/>
          </w:tcPr>
          <w:p>
            <w:pPr>
              <w:spacing w:after="0"/>
              <w:rPr>
                <w:sz w:val="20"/>
                <w:szCs w:val="20"/>
                <w:color w:val="auto"/>
              </w:rPr>
            </w:pPr>
            <w:r>
              <w:rPr>
                <w:rFonts w:ascii="Arial" w:cs="Arial" w:eastAsia="Arial" w:hAnsi="Arial"/>
                <w:sz w:val="18"/>
                <w:szCs w:val="18"/>
                <w:color w:val="auto"/>
              </w:rPr>
              <w:t>10.14(b)+#</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Non-qualified Stock Option Grant Notice and Agreement under 2016 Omnibus Incentive Plan</w:t>
            </w:r>
          </w:p>
        </w:tc>
        <w:tc>
          <w:tcPr>
            <w:tcW w:w="0" w:type="dxa"/>
            <w:vAlign w:val="bottom"/>
          </w:tcPr>
          <w:p>
            <w:pPr>
              <w:spacing w:after="0"/>
              <w:rPr>
                <w:sz w:val="1"/>
                <w:szCs w:val="1"/>
                <w:color w:val="auto"/>
              </w:rPr>
            </w:pPr>
          </w:p>
        </w:tc>
      </w:tr>
      <w:tr>
        <w:trPr>
          <w:trHeight w:val="324"/>
        </w:trPr>
        <w:tc>
          <w:tcPr>
            <w:tcW w:w="1300" w:type="dxa"/>
            <w:vAlign w:val="bottom"/>
            <w:gridSpan w:val="3"/>
          </w:tcPr>
          <w:p>
            <w:pPr>
              <w:spacing w:after="0"/>
              <w:rPr>
                <w:sz w:val="20"/>
                <w:szCs w:val="20"/>
                <w:color w:val="auto"/>
              </w:rPr>
            </w:pPr>
            <w:r>
              <w:rPr>
                <w:rFonts w:ascii="Arial" w:cs="Arial" w:eastAsia="Arial" w:hAnsi="Arial"/>
                <w:sz w:val="18"/>
                <w:szCs w:val="18"/>
                <w:color w:val="auto"/>
              </w:rPr>
              <w:t>10.14(c)+#</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10.15+#</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Nonstatutory Stock Option Agreement of ACM Research,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10.16+#</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1998 Stock Option Plan of ACM Research, Inc.</w:t>
            </w:r>
          </w:p>
        </w:tc>
        <w:tc>
          <w:tcPr>
            <w:tcW w:w="0" w:type="dxa"/>
            <w:vAlign w:val="bottom"/>
          </w:tcPr>
          <w:p>
            <w:pPr>
              <w:spacing w:after="0"/>
              <w:rPr>
                <w:sz w:val="1"/>
                <w:szCs w:val="1"/>
                <w:color w:val="auto"/>
              </w:rPr>
            </w:pPr>
          </w:p>
        </w:tc>
      </w:tr>
      <w:tr>
        <w:trPr>
          <w:trHeight w:val="324"/>
        </w:trPr>
        <w:tc>
          <w:tcPr>
            <w:tcW w:w="1300" w:type="dxa"/>
            <w:vAlign w:val="bottom"/>
            <w:gridSpan w:val="3"/>
          </w:tcPr>
          <w:p>
            <w:pPr>
              <w:spacing w:after="0"/>
              <w:rPr>
                <w:sz w:val="20"/>
                <w:szCs w:val="20"/>
                <w:color w:val="auto"/>
              </w:rPr>
            </w:pPr>
            <w:r>
              <w:rPr>
                <w:rFonts w:ascii="Arial" w:cs="Arial" w:eastAsia="Arial" w:hAnsi="Arial"/>
                <w:sz w:val="18"/>
                <w:szCs w:val="18"/>
                <w:color w:val="auto"/>
              </w:rPr>
              <w:t>10.16(a)+#</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Incentive Stock Option Agreement under 1998 Stock Option Plan</w:t>
            </w:r>
          </w:p>
        </w:tc>
        <w:tc>
          <w:tcPr>
            <w:tcW w:w="0" w:type="dxa"/>
            <w:vAlign w:val="bottom"/>
          </w:tcPr>
          <w:p>
            <w:pPr>
              <w:spacing w:after="0"/>
              <w:rPr>
                <w:sz w:val="1"/>
                <w:szCs w:val="1"/>
                <w:color w:val="auto"/>
              </w:rPr>
            </w:pPr>
          </w:p>
        </w:tc>
      </w:tr>
      <w:tr>
        <w:trPr>
          <w:trHeight w:val="324"/>
        </w:trPr>
        <w:tc>
          <w:tcPr>
            <w:tcW w:w="1300" w:type="dxa"/>
            <w:vAlign w:val="bottom"/>
            <w:gridSpan w:val="3"/>
          </w:tcPr>
          <w:p>
            <w:pPr>
              <w:spacing w:after="0"/>
              <w:rPr>
                <w:sz w:val="20"/>
                <w:szCs w:val="20"/>
                <w:color w:val="auto"/>
              </w:rPr>
            </w:pPr>
            <w:r>
              <w:rPr>
                <w:rFonts w:ascii="Arial" w:cs="Arial" w:eastAsia="Arial" w:hAnsi="Arial"/>
                <w:sz w:val="18"/>
                <w:szCs w:val="18"/>
                <w:color w:val="auto"/>
              </w:rPr>
              <w:t>10.16(b)+#</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Non-statutory Stock Option Agreement under 1998 Stock Option Plan</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10.17#</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w w:val="98"/>
              </w:rPr>
              <w:t>Form of Indemnification Agreement to be entered into between ACM Research, Inc. and certain of its directors and officers</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10.18+#</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Executive Retention Agreement dated November 14, 2016 between ACM Research, Inc. and Min Xu</w:t>
            </w:r>
          </w:p>
        </w:tc>
        <w:tc>
          <w:tcPr>
            <w:tcW w:w="0" w:type="dxa"/>
            <w:vAlign w:val="bottom"/>
          </w:tcPr>
          <w:p>
            <w:pPr>
              <w:spacing w:after="0"/>
              <w:rPr>
                <w:sz w:val="1"/>
                <w:szCs w:val="1"/>
                <w:color w:val="auto"/>
              </w:rPr>
            </w:pP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10.19#</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w w:val="90"/>
              </w:rPr>
              <w:t>Line of Credit Agreement dated August 21, 2017 between ACM Research (Shanghai), Inc. and Shanghai Pudong Development Zone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Branch of Bank of China Limited</w:t>
            </w:r>
          </w:p>
        </w:tc>
        <w:tc>
          <w:tcPr>
            <w:tcW w:w="0" w:type="dxa"/>
            <w:vAlign w:val="bottom"/>
          </w:tcPr>
          <w:p>
            <w:pPr>
              <w:spacing w:after="0"/>
              <w:rPr>
                <w:sz w:val="1"/>
                <w:szCs w:val="1"/>
                <w:color w:val="auto"/>
              </w:rPr>
            </w:pP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w w:val="91"/>
              </w:rPr>
              <w:t>Line of Credit Agreement dated August 21, 2017 between ACM Research (Shanghai), Inc. and Bank of Shanghai Co., Ltd. Pudong</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Branch</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21.01#</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List of Subsidiaries of ACM Research,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23.01#</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Consent of BDO China Shu Lan Pan Certified Public Accountants LLP</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23.02</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Consent of K&amp;L Gates LLP (included in Exhibit 5.01)</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24.01#</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Power of Attorney (included on signature page of Form S-1 filed on September 13, 2017)</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99.01#</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Consent of 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360"/>
          </w:cols>
          <w:pgMar w:left="240" w:top="253"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4.02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PURCHASE WARRANT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29"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Warrant Shares: [●]</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Original Issue Date: [●], 2017</w:t>
      </w:r>
    </w:p>
    <w:p>
      <w:pPr>
        <w:spacing w:after="0" w:line="225"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THIS CLASS A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 or its assigns (the “</w:t>
      </w:r>
      <w:r>
        <w:rPr>
          <w:rFonts w:ascii="Arial" w:cs="Arial" w:eastAsia="Arial" w:hAnsi="Arial"/>
          <w:sz w:val="17"/>
          <w:szCs w:val="17"/>
          <w:u w:val="single" w:color="auto"/>
          <w:color w:val="auto"/>
        </w:rPr>
        <w:t>Holder</w:t>
      </w:r>
      <w:r>
        <w:rPr>
          <w:rFonts w:ascii="Arial" w:cs="Arial" w:eastAsia="Arial" w:hAnsi="Arial"/>
          <w:sz w:val="17"/>
          <w:szCs w:val="17"/>
          <w:color w:val="auto"/>
        </w:rPr>
        <w:t>”) is entitled, upon the terms and subject to the limitations on exercise and the conditions hereinafter set forth, at any time on or after [●], 2017 (the “</w:t>
      </w:r>
      <w:r>
        <w:rPr>
          <w:rFonts w:ascii="Arial" w:cs="Arial" w:eastAsia="Arial" w:hAnsi="Arial"/>
          <w:sz w:val="17"/>
          <w:szCs w:val="17"/>
          <w:u w:val="single" w:color="auto"/>
          <w:color w:val="auto"/>
        </w:rPr>
        <w:t>Original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Issue Date</w:t>
      </w:r>
      <w:r>
        <w:rPr>
          <w:rFonts w:ascii="Arial" w:cs="Arial" w:eastAsia="Arial" w:hAnsi="Arial"/>
          <w:sz w:val="17"/>
          <w:szCs w:val="17"/>
          <w:color w:val="auto"/>
        </w:rPr>
        <w:t>”) and, in accordance with FINRA Rule 5110(f)(2)(H)(i), will expire at 5:00 p.m. (New York time) on the [●], 2022</w:t>
      </w:r>
      <w:r>
        <w:rPr>
          <w:rFonts w:ascii="Arial" w:cs="Arial" w:eastAsia="Arial" w:hAnsi="Arial"/>
          <w:sz w:val="14"/>
          <w:szCs w:val="14"/>
          <w:color w:val="auto"/>
        </w:rPr>
        <w:t>2</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but not thereafter, to subscribe for and purchase from ACM Research,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up to [●]</w:t>
      </w:r>
      <w:r>
        <w:rPr>
          <w:rFonts w:ascii="Arial" w:cs="Arial" w:eastAsia="Arial" w:hAnsi="Arial"/>
          <w:sz w:val="14"/>
          <w:szCs w:val="14"/>
          <w:color w:val="auto"/>
        </w:rPr>
        <w:t>3</w:t>
      </w:r>
      <w:r>
        <w:rPr>
          <w:rFonts w:ascii="Arial" w:cs="Arial" w:eastAsia="Arial" w:hAnsi="Arial"/>
          <w:sz w:val="17"/>
          <w:szCs w:val="17"/>
          <w:color w:val="auto"/>
        </w:rPr>
        <w:t xml:space="preserve"> shares (as subject to adjustment hereunder, the “</w:t>
      </w:r>
      <w:r>
        <w:rPr>
          <w:rFonts w:ascii="Arial" w:cs="Arial" w:eastAsia="Arial" w:hAnsi="Arial"/>
          <w:sz w:val="17"/>
          <w:szCs w:val="17"/>
          <w:u w:val="single" w:color="auto"/>
          <w:color w:val="auto"/>
        </w:rPr>
        <w:t>Warrant Shares</w:t>
      </w:r>
      <w:r>
        <w:rPr>
          <w:rFonts w:ascii="Arial" w:cs="Arial" w:eastAsia="Arial" w:hAnsi="Arial"/>
          <w:sz w:val="17"/>
          <w:szCs w:val="17"/>
          <w:color w:val="auto"/>
        </w:rPr>
        <w:t>”) of the Company’s Class A common stock, $0.0001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The purchase price of one share of Common Stock under this Warrant shall be equal to the Exercise Price, as defined in Section 2(b).</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the following terms have the meanings indicated in this Section 1:</w:t>
      </w:r>
    </w:p>
    <w:p>
      <w:pPr>
        <w:spacing w:after="0" w:line="140" w:lineRule="exact"/>
        <w:rPr>
          <w:sz w:val="20"/>
          <w:szCs w:val="20"/>
          <w:color w:val="auto"/>
        </w:rPr>
      </w:pPr>
    </w:p>
    <w:p>
      <w:pPr>
        <w:ind w:left="460" w:right="4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60" w:right="40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left="460" w:right="1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which would entitle the holder thereof to acquire at any time shares of Common Stock including any debt, preferred stock, rights, options, warrants or other instrument that is at any time convertible into or exercisable for, or otherwise entitles the holder thereof to receive, Common Stock.</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To be 4.0% of the shares sold in the offering, less PRC based investors</w:t>
      </w:r>
    </w:p>
    <w:p>
      <w:pPr>
        <w:spacing w:after="0" w:line="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To be the date that is five years following the Original Issue Date</w:t>
      </w:r>
    </w:p>
    <w:p>
      <w:pPr>
        <w:spacing w:after="0" w:line="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To be 4.0% of the shares sold in the offering, less PRC based investors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 w:name="page12"/>
    <w:bookmarkEnd w:id="11"/>
    <w:p>
      <w:pPr>
        <w:ind w:right="60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117" w:lineRule="exact"/>
        <w:rPr>
          <w:sz w:val="20"/>
          <w:szCs w:val="20"/>
          <w:color w:val="auto"/>
        </w:rPr>
      </w:pPr>
    </w:p>
    <w:p>
      <w:pPr>
        <w:jc w:val="both"/>
        <w:ind w:right="2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the Nasdaq Capital Market, the Nasdaq Global Market, the Nasdaq Global Select Market, the New York Stock Exchange or the OTC Bulletin Board (or any successors to any of the foregoing).</w:t>
      </w:r>
    </w:p>
    <w:p>
      <w:pPr>
        <w:spacing w:after="0" w:line="73" w:lineRule="exact"/>
        <w:rPr>
          <w:sz w:val="20"/>
          <w:szCs w:val="20"/>
          <w:color w:val="auto"/>
        </w:rPr>
      </w:pPr>
    </w:p>
    <w:p>
      <w:pPr>
        <w:ind w:right="48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Computershare Trust Company, N.A., the current transfer agent of the Company, with a mailing address of 480 Washington Bouleva, Jersey City, New Jersey 07310 and a facsimile number of 201-680-4606, and any successor transfer agent of the Company.</w:t>
      </w:r>
    </w:p>
    <w:p>
      <w:pPr>
        <w:spacing w:after="0" w:line="16" w:lineRule="exact"/>
        <w:rPr>
          <w:sz w:val="20"/>
          <w:szCs w:val="20"/>
          <w:color w:val="auto"/>
        </w:rPr>
      </w:pPr>
    </w:p>
    <w:p>
      <w:pPr>
        <w:ind w:right="4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means the Underwriting Agreement dated [●], 2017, between the Company and Roth Capital Partners, LLC, as representative of the several Underwriters named therein.</w:t>
      </w:r>
    </w:p>
    <w:p>
      <w:pPr>
        <w:spacing w:after="0" w:line="62" w:lineRule="exact"/>
        <w:rPr>
          <w:sz w:val="20"/>
          <w:szCs w:val="20"/>
          <w:color w:val="auto"/>
        </w:rPr>
      </w:pPr>
    </w:p>
    <w:p>
      <w:pPr>
        <w:ind w:right="160" w:firstLine="43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(or, if not reported on Bloomberg, L.P., another reporting service reasonably agreed to by the parties) (based on a Trading Day from 9:30 a.m. (New York City time) to 4:02 p.m. (New York City time)), (b) if the Common Stock is not then listed or quoted for trading on a Trading Market and if prices for the Common Stock are then reported in the “Pink Sheets” published by Pink OTC Markets, Inc. (or a similar organization or agency succeeding to its functions of reporting prices), the most recent bid price per share of the Common Stock so reported, or (c) 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17" w:lineRule="exact"/>
        <w:rPr>
          <w:sz w:val="20"/>
          <w:szCs w:val="20"/>
          <w:color w:val="auto"/>
        </w:rPr>
      </w:pPr>
    </w:p>
    <w:p>
      <w:pPr>
        <w:ind w:firstLine="443"/>
        <w:spacing w:after="0" w:line="312" w:lineRule="auto"/>
        <w:tabs>
          <w:tab w:leader="none" w:pos="6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Exercise of the purchase rights represented by this Warrant may be made, in whole or in part, at any time or times on or after the Original Issue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12" w:name="page13"/>
    <w:bookmarkEnd w:id="12"/>
    <w:p>
      <w:pPr>
        <w:jc w:val="both"/>
        <w:ind w:left="452"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email attachment) of the Notice of Exercise form annexed hereto and, within two (2) Trading Days of the date said Notice of Exercise is delivered to the Company, payment of the aggregate Exercise Price of the shares thereby purchased by wire transfer or cashier’s check drawn on a United States bank or, if available, pursuant to the cashless exercise procedure specified in Section 2(c) below if specified in the applicable Notice of Exercise.</w:t>
      </w:r>
    </w:p>
    <w:p>
      <w:pPr>
        <w:ind w:left="452"/>
        <w:spacing w:after="0" w:line="268" w:lineRule="auto"/>
        <w:rPr>
          <w:sz w:val="20"/>
          <w:szCs w:val="20"/>
          <w:color w:val="auto"/>
        </w:rPr>
      </w:pPr>
      <w:r>
        <w:rPr>
          <w:rFonts w:ascii="Arial" w:cs="Arial" w:eastAsia="Arial" w:hAnsi="Arial"/>
          <w:sz w:val="17"/>
          <w:szCs w:val="17"/>
          <w:color w:val="auto"/>
        </w:rPr>
        <w:t xml:space="preserve">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rFonts w:ascii="Arial" w:cs="Arial" w:eastAsia="Arial" w:hAnsi="Arial"/>
          <w:sz w:val="17"/>
          <w:szCs w:val="17"/>
          <w:b w:val="1"/>
          <w:bCs w:val="1"/>
          <w:color w:val="auto"/>
        </w:rPr>
        <w:t>The Holder and any assignee, by</w:t>
      </w:r>
      <w:r>
        <w:rPr>
          <w:rFonts w:ascii="Arial" w:cs="Arial" w:eastAsia="Arial" w:hAnsi="Arial"/>
          <w:sz w:val="17"/>
          <w:szCs w:val="17"/>
          <w:color w:val="auto"/>
        </w:rPr>
        <w:t xml:space="preserve"> </w:t>
      </w:r>
      <w:r>
        <w:rPr>
          <w:rFonts w:ascii="Arial" w:cs="Arial" w:eastAsia="Arial" w:hAnsi="Arial"/>
          <w:sz w:val="17"/>
          <w:szCs w:val="17"/>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2" w:lineRule="exact"/>
        <w:rPr>
          <w:sz w:val="20"/>
          <w:szCs w:val="20"/>
          <w:color w:val="auto"/>
        </w:rPr>
      </w:pPr>
    </w:p>
    <w:p>
      <w:pPr>
        <w:ind w:left="452" w:right="320" w:firstLine="443"/>
        <w:spacing w:after="0" w:line="277" w:lineRule="auto"/>
        <w:tabs>
          <w:tab w:leader="none" w:pos="108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the Common Stock under this Warrant shall be $[●]</w:t>
      </w:r>
      <w:r>
        <w:rPr>
          <w:rFonts w:ascii="Arial" w:cs="Arial" w:eastAsia="Arial" w:hAnsi="Arial"/>
          <w:sz w:val="15"/>
          <w:szCs w:val="15"/>
          <w:color w:val="auto"/>
        </w:rPr>
        <w:t>4</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52" w:firstLine="443"/>
        <w:spacing w:after="0" w:line="308" w:lineRule="auto"/>
        <w:tabs>
          <w:tab w:leader="none" w:pos="107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This Warrant may be exercised, in whole or in part, by means of a “cashless exercise” in which the Holder shall be entitled to receive a certificate for the number of Warrant Shares equal to the quotient obtained by dividing [(A-B) (X)] by (A), where:</w:t>
      </w:r>
    </w:p>
    <w:p>
      <w:pPr>
        <w:spacing w:after="0" w:line="174" w:lineRule="exact"/>
        <w:rPr>
          <w:sz w:val="20"/>
          <w:szCs w:val="20"/>
          <w:color w:val="auto"/>
        </w:rPr>
      </w:pPr>
    </w:p>
    <w:p>
      <w:pPr>
        <w:ind w:left="1792" w:right="1340" w:hanging="536"/>
        <w:spacing w:after="0" w:line="302" w:lineRule="auto"/>
        <w:tabs>
          <w:tab w:leader="none" w:pos="15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the last VWAP immediately preceding the time of delivery of the Notice of Exercise giving rise to the applicable “cashless exercise”, as set forth in the applicable Notice of Exercise (to clarify, the “last VWAP” will be the last VWAP as calculated over an entire Trading Day such that, in the event that this Warrant is exercised at a time that the Trading Market is open, the prior Trading Day’s VWAP shall be used in this calculation);</w:t>
      </w:r>
    </w:p>
    <w:p>
      <w:pPr>
        <w:spacing w:after="0" w:line="46" w:lineRule="exact"/>
        <w:rPr>
          <w:rFonts w:ascii="Arial" w:cs="Arial" w:eastAsia="Arial" w:hAnsi="Arial"/>
          <w:sz w:val="16"/>
          <w:szCs w:val="16"/>
          <w:color w:val="auto"/>
        </w:rPr>
      </w:pPr>
    </w:p>
    <w:p>
      <w:pPr>
        <w:ind w:left="1572" w:hanging="316"/>
        <w:spacing w:after="0"/>
        <w:tabs>
          <w:tab w:leader="none" w:pos="1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117" w:lineRule="exact"/>
        <w:rPr>
          <w:sz w:val="20"/>
          <w:szCs w:val="20"/>
          <w:color w:val="auto"/>
        </w:rPr>
      </w:pPr>
    </w:p>
    <w:p>
      <w:pPr>
        <w:ind w:left="1792" w:right="1260" w:hanging="536"/>
        <w:spacing w:after="0" w:line="308" w:lineRule="auto"/>
        <w:tabs>
          <w:tab w:leader="none" w:pos="15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47" w:lineRule="exact"/>
        <w:rPr>
          <w:sz w:val="20"/>
          <w:szCs w:val="20"/>
          <w:color w:val="auto"/>
        </w:rPr>
      </w:pPr>
    </w:p>
    <w:p>
      <w:pPr>
        <w:ind w:left="452" w:right="260" w:firstLine="438"/>
        <w:spacing w:after="0" w:line="277" w:lineRule="auto"/>
        <w:rPr>
          <w:sz w:val="20"/>
          <w:szCs w:val="20"/>
          <w:color w:val="auto"/>
        </w:rPr>
      </w:pPr>
      <w:r>
        <w:rPr>
          <w:rFonts w:ascii="Arial" w:cs="Arial" w:eastAsia="Arial" w:hAnsi="Arial"/>
          <w:sz w:val="18"/>
          <w:szCs w:val="18"/>
          <w:color w:val="auto"/>
        </w:rPr>
        <w:t>Notwithstanding anything herein to the contrary, on the Termination Date, this Warrant shall be automatically exercised via cashless exercise pursuant to this Section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5"/>
          <w:szCs w:val="15"/>
          <w:color w:val="auto"/>
        </w:rPr>
      </w:pPr>
      <w:r>
        <w:rPr>
          <w:rFonts w:ascii="Arial" w:cs="Arial" w:eastAsia="Arial" w:hAnsi="Arial"/>
          <w:sz w:val="18"/>
          <w:szCs w:val="18"/>
          <w:color w:val="auto"/>
        </w:rPr>
        <w:t>To be 110% of IPO per share sale price</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12"/>
          </w:cols>
          <w:pgMar w:left="248" w:top="274" w:right="339" w:bottom="1440" w:gutter="0" w:footer="0" w:header="0"/>
        </w:sectPr>
      </w:pPr>
    </w:p>
    <w:bookmarkStart w:id="13" w:name="page14"/>
    <w:bookmarkEnd w:id="13"/>
    <w:p>
      <w:pPr>
        <w:ind w:left="197" w:hanging="197"/>
        <w:spacing w:after="0"/>
        <w:tabs>
          <w:tab w:leader="none" w:pos="19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Mechanics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 w:right="60" w:firstLine="421"/>
        <w:spacing w:after="0" w:line="284" w:lineRule="auto"/>
        <w:tabs>
          <w:tab w:leader="none" w:pos="577"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Delivery of Certificates Upon Exercise</w:t>
      </w:r>
      <w:r>
        <w:rPr>
          <w:rFonts w:ascii="Arial" w:cs="Arial" w:eastAsia="Arial" w:hAnsi="Arial"/>
          <w:sz w:val="16"/>
          <w:szCs w:val="16"/>
          <w:color w:val="auto"/>
        </w:rPr>
        <w:t>. Certificates for shares purchased hereunder shall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three (3) Trading Days after the latest of (x) the delivery to the Company of the Notice of Exercise,</w:t>
      </w:r>
    </w:p>
    <w:p>
      <w:pPr>
        <w:spacing w:after="0" w:line="2" w:lineRule="exact"/>
        <w:rPr>
          <w:rFonts w:ascii="Arial" w:cs="Arial" w:eastAsia="Arial" w:hAnsi="Arial"/>
          <w:sz w:val="16"/>
          <w:szCs w:val="16"/>
          <w:color w:val="auto"/>
        </w:rPr>
      </w:pPr>
    </w:p>
    <w:p>
      <w:pPr>
        <w:ind w:left="17" w:right="20" w:firstLine="1"/>
        <w:spacing w:after="0" w:line="286" w:lineRule="auto"/>
        <w:tabs>
          <w:tab w:leader="none" w:pos="272" w:val="left"/>
        </w:tabs>
        <w:numPr>
          <w:ilvl w:val="1"/>
          <w:numId w:val="15"/>
        </w:numPr>
        <w:rPr>
          <w:rFonts w:ascii="Arial" w:cs="Arial" w:eastAsia="Arial" w:hAnsi="Arial"/>
          <w:sz w:val="16"/>
          <w:szCs w:val="16"/>
          <w:color w:val="auto"/>
        </w:rPr>
      </w:pPr>
      <w:r>
        <w:rPr>
          <w:rFonts w:ascii="Arial" w:cs="Arial" w:eastAsia="Arial" w:hAnsi="Arial"/>
          <w:sz w:val="16"/>
          <w:szCs w:val="16"/>
          <w:color w:val="auto"/>
        </w:rPr>
        <w:t>surrender of this Warrant (if required) and (z) payment of the aggregate Exercise Price as set forth above (including by cashless exercise, if permitted)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pursuant to Section 2(d)(vi) prior to the issuance of such shares, having been paid. If the Company fails for any reason to deliver to the Holder certificates evidencing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certificates are delivered or Holder rescinds such exercise. The Company agrees to maintain a transfer agent that is a participant in the FAST program so long as this Warrant remains outstanding and exerciseable.</w:t>
      </w:r>
    </w:p>
    <w:p>
      <w:pPr>
        <w:spacing w:after="0" w:line="58" w:lineRule="exact"/>
        <w:rPr>
          <w:rFonts w:ascii="Arial" w:cs="Arial" w:eastAsia="Arial" w:hAnsi="Arial"/>
          <w:sz w:val="16"/>
          <w:szCs w:val="16"/>
          <w:color w:val="auto"/>
        </w:rPr>
      </w:pPr>
    </w:p>
    <w:p>
      <w:pPr>
        <w:ind w:left="17" w:firstLine="421"/>
        <w:spacing w:after="0" w:line="257" w:lineRule="auto"/>
        <w:tabs>
          <w:tab w:leader="none" w:pos="627"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certificate or certificates representing Warrant Shares (or at the time the Holder’s or its designee’s balance account is credited through DWAC pursuant to Section 2(d)(i)), deliver to the Holder a new Warrant evidencing the rights of the Holder to purchase the unpurchased Warrant Shares called for by this Warrant, which new Warrant shall in all other respects be identical with this Warrant.</w:t>
      </w:r>
    </w:p>
    <w:p>
      <w:pPr>
        <w:spacing w:after="0" w:line="121" w:lineRule="exact"/>
        <w:rPr>
          <w:sz w:val="20"/>
          <w:szCs w:val="20"/>
          <w:color w:val="auto"/>
        </w:rPr>
      </w:pPr>
    </w:p>
    <w:p>
      <w:pPr>
        <w:ind w:left="475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17"/>
          </w:cols>
          <w:pgMar w:left="1143" w:top="274" w:right="239" w:bottom="1440" w:gutter="0" w:footer="0" w:header="0"/>
        </w:sectPr>
      </w:pPr>
    </w:p>
    <w:bookmarkStart w:id="14" w:name="page15"/>
    <w:bookmarkEnd w:id="14"/>
    <w:p>
      <w:pPr>
        <w:ind w:left="-280" w:right="20" w:firstLine="421"/>
        <w:spacing w:after="0" w:line="34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Rescission Rights</w:t>
      </w:r>
      <w:r>
        <w:rPr>
          <w:rFonts w:ascii="Arial" w:cs="Arial" w:eastAsia="Arial" w:hAnsi="Arial"/>
          <w:sz w:val="16"/>
          <w:szCs w:val="16"/>
          <w:color w:val="auto"/>
        </w:rPr>
        <w:t>. If the Company fails to cause the Transfer Agent to transmit to the Holder a certificate or the certificates representing the Warrant Shares pursuant to Section 2(d)(i) by the Warrant Share Delivery Date, then the Holder will have the right to rescind such exercise.</w:t>
      </w:r>
    </w:p>
    <w:p>
      <w:pPr>
        <w:spacing w:after="0" w:line="15" w:lineRule="exact"/>
        <w:rPr>
          <w:rFonts w:ascii="Arial" w:cs="Arial" w:eastAsia="Arial" w:hAnsi="Arial"/>
          <w:sz w:val="16"/>
          <w:szCs w:val="16"/>
          <w:color w:val="auto"/>
        </w:rPr>
      </w:pPr>
    </w:p>
    <w:p>
      <w:pPr>
        <w:ind w:left="-280" w:firstLine="421"/>
        <w:spacing w:after="0" w:line="285" w:lineRule="auto"/>
        <w:tabs>
          <w:tab w:leader="none" w:pos="358"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Certificates Upon Exercise</w:t>
      </w:r>
      <w:r>
        <w:rPr>
          <w:rFonts w:ascii="Arial" w:cs="Arial" w:eastAsia="Arial" w:hAnsi="Arial"/>
          <w:sz w:val="16"/>
          <w:szCs w:val="16"/>
          <w:color w:val="auto"/>
        </w:rPr>
        <w:t>. In addition to any other rights available to the Holder, if the Company fails to cause the Transfer Agent to transmit to the Holder a certificate or the certificates representing the Warrant Shares (or otherwise credit Holder’s or its designee’s balance account through DWAC pursuant to Section 2(d)(i))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3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274" w:right="239" w:bottom="1440" w:gutter="0" w:footer="0" w:header="0"/>
        </w:sectPr>
      </w:pPr>
    </w:p>
    <w:bookmarkStart w:id="15" w:name="page16"/>
    <w:bookmarkEnd w:id="15"/>
    <w:p>
      <w:pPr>
        <w:ind w:left="460" w:right="300" w:firstLine="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9" w:lineRule="exact"/>
        <w:rPr>
          <w:sz w:val="20"/>
          <w:szCs w:val="20"/>
          <w:color w:val="auto"/>
        </w:rPr>
      </w:pPr>
    </w:p>
    <w:p>
      <w:pPr>
        <w:ind w:left="460" w:right="160" w:firstLine="421"/>
        <w:spacing w:after="0" w:line="272" w:lineRule="auto"/>
        <w:tabs>
          <w:tab w:leader="none" w:pos="1110"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spacing w:after="0" w:line="69" w:lineRule="exact"/>
        <w:rPr>
          <w:rFonts w:ascii="Arial" w:cs="Arial" w:eastAsia="Arial" w:hAnsi="Arial"/>
          <w:sz w:val="17"/>
          <w:szCs w:val="17"/>
          <w:color w:val="auto"/>
        </w:rPr>
      </w:pPr>
    </w:p>
    <w:p>
      <w:pPr>
        <w:ind w:left="460" w:right="260" w:firstLine="421"/>
        <w:spacing w:after="0" w:line="277"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62" w:lineRule="exact"/>
        <w:rPr>
          <w:rFonts w:ascii="Arial" w:cs="Arial" w:eastAsia="Arial" w:hAnsi="Arial"/>
          <w:sz w:val="18"/>
          <w:szCs w:val="18"/>
          <w:color w:val="auto"/>
        </w:rPr>
      </w:pPr>
    </w:p>
    <w:p>
      <w:pPr>
        <w:ind w:firstLine="443"/>
        <w:spacing w:after="0" w:line="268" w:lineRule="auto"/>
        <w:tabs>
          <w:tab w:leader="none" w:pos="62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Holder’s Exercise Limitations</w:t>
      </w:r>
      <w:r>
        <w:rPr>
          <w:rFonts w:ascii="Arial" w:cs="Arial" w:eastAsia="Arial" w:hAnsi="Arial"/>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7"/>
          <w:szCs w:val="17"/>
          <w:u w:val="single" w:color="auto"/>
          <w:color w:val="auto"/>
        </w:rPr>
        <w:t>Attribution Parties</w:t>
      </w:r>
      <w:r>
        <w:rPr>
          <w:rFonts w:ascii="Arial" w:cs="Arial" w:eastAsia="Arial" w:hAnsi="Arial"/>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16" w:name="page17"/>
    <w:bookmarkEnd w:id="16"/>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7"/>
          <w:szCs w:val="17"/>
          <w:u w:val="single" w:color="auto"/>
          <w:color w:val="auto"/>
        </w:rPr>
        <w:t>Beneficial Ownership Limitation</w:t>
      </w:r>
      <w:r>
        <w:rPr>
          <w:rFonts w:ascii="Arial" w:cs="Arial" w:eastAsia="Arial" w:hAnsi="Arial"/>
          <w:sz w:val="17"/>
          <w:szCs w:val="17"/>
          <w:color w:val="auto"/>
        </w:rPr>
        <w:t>” shall be 4.99% of the number of shares of the Common Stock outstanding immediately after giving effect to the issuance of shares of Common Stock issuable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117" w:lineRule="exact"/>
        <w:rPr>
          <w:sz w:val="20"/>
          <w:szCs w:val="20"/>
          <w:color w:val="auto"/>
        </w:rPr>
      </w:pPr>
    </w:p>
    <w:p>
      <w:pPr>
        <w:ind w:right="20" w:firstLine="443"/>
        <w:spacing w:after="0" w:line="290" w:lineRule="auto"/>
        <w:tabs>
          <w:tab w:leader="none" w:pos="62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7" w:name="page18"/>
    <w:bookmarkEnd w:id="17"/>
    <w:p>
      <w:pPr>
        <w:ind w:right="2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39" w:lineRule="exact"/>
        <w:rPr>
          <w:sz w:val="20"/>
          <w:szCs w:val="20"/>
          <w:color w:val="auto"/>
        </w:rPr>
      </w:pPr>
    </w:p>
    <w:p>
      <w:pPr>
        <w:ind w:left="640" w:hanging="197"/>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620" w:hanging="177"/>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43"/>
        <w:spacing w:after="0" w:line="289" w:lineRule="auto"/>
        <w:tabs>
          <w:tab w:leader="none" w:pos="633"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If the Company, at any time while this Warrant is outstanding, shall distribute to all holders of Common Stock (and not to the Holder) evidences of its indebtedness or assets (including cash and cash dividends) or rights or warrants to subscribe for or purchase any security, then in each such case the Exercise Price shall be adjusted by multiplying the Exercise Price in effect immediately prior to the record date fixed for determination of stockholders entitled to receive such distribution by a fraction of which the denominator shall be the VWAP determined as of the record date mentioned above, and of which the numerator shall be such VWAP on such record date less the then per share fair market value at such record date of the portion of such assets or evidence of indebtedness so distributed applicable to one outstanding share of the Common Stock as determined by the Board of Directors in good faith. In either case the adjustments shall be described in a statement provided to the Holder of the portion of assets or evidences of indebtedness so distributed or such subscription rights applicable to one share of Common Stock. Such adjustment shall be made whenever any such distribution is made and shall become effective immediately after the record date mentioned above.</w:t>
      </w:r>
    </w:p>
    <w:p>
      <w:pPr>
        <w:spacing w:after="0" w:line="58" w:lineRule="exact"/>
        <w:rPr>
          <w:rFonts w:ascii="Arial" w:cs="Arial" w:eastAsia="Arial" w:hAnsi="Arial"/>
          <w:sz w:val="16"/>
          <w:szCs w:val="16"/>
          <w:color w:val="auto"/>
        </w:rPr>
      </w:pPr>
    </w:p>
    <w:p>
      <w:pPr>
        <w:ind w:right="180" w:firstLine="443"/>
        <w:spacing w:after="0" w:line="288" w:lineRule="auto"/>
        <w:tabs>
          <w:tab w:leader="none" w:pos="623"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w:t>
      </w:r>
    </w:p>
    <w:p>
      <w:pPr>
        <w:ind w:right="140" w:firstLine="4"/>
        <w:spacing w:after="0" w:line="261"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direct or indirect, purchase offer, tender offer or exchange offer (whether by the Company or another Person) is completed pursuant to which holders of</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are permitted to sell, tender or exchange their shares for other securities, cash or property and has been accepted by the holders of 50%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more of the outstanding Common Stock, (iv) the Company, directly or indirectly, in one or more related transactions effects any reclassification,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reorganization or recapitalization of the Common Stock or any compulsory share exchange pursuant to which the Common Stock is effectively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converted into or exchanged for other securities, cash or property, or (v) the Company, directly or indirectly, in one or more related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consummates a stock or share purchase agreement or other business combination (including, without limitation, a reorganization, recapitalization,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spin-off or scheme of arrangement) with another Person or group of Persons whereby such other Person or group acquires more than 50%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of Common Stock (not including any shares of Common Stock held by the other Person or other Persons making or party to,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or affiliated with the other Persons making or party to, such stock or share purchase agreement or other business combination)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would have been issuable upon such exercise immediately prior to the occurrence of such Fundamental Transaction, at the option of the 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(without regard to any limitation in Section 2(e) on the exercise of this Warrant), the number of shares of Common Stock of the successor or acquiring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such Fundamental Transaction by a holder of the number of shares of Common Stock for which this Warrant is exercisable immediately prior to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Fundamental Transaction (without regard to any limitation in Section 2(e) on the exercise of this Warrant). For purposes of any such exercise,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determination of the Exercise Price shall be appropriately adjusted to apply to such Alternate Consideration based on the amount of Alternate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issuable in respect of one share of Common Stock in such Fundamental Transaction, and the Company shall apportion the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the Alternate Consideration in a reasonable manner reflecting the relative value of any different components of the Alternate Consideration.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are given any choice as to the securities, cash or property to be received in a Fundamental Transaction, then the Holder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given the same choice as to the Alternate Consideration it receives upon any exercise of this Warrant following such Fundamental Transaction.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writing all of the obligations of the Company under this Warrant and the other Transaction Documents in accordance with the provisions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3(e) pursuant to written agreements in form and substance reasonably satisfactory to the Holder and approved by the Holder (without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unreasonable delay) prior to such Fundamental Transaction and shall, at the option of the Holder, deliver to the Holder in exchange for this Warrant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of the Successor Entity evidenced by a written instrument substantially similar in form and substance to this Warrant which is exercisable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corresponding number of shares of capital stock of such Successor Entity (or its parent entity) equivalent to the shares of Common Stock acquirable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receivable upon exercise of this Warrant (without regard to any limitations on the exercise of this Warrant) prior to such Fundamental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with an exercise price which applies the exercise price hereunder to such shares of capital stock (but taking into account the relative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pursuant to such Fundamental</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81" w:lineRule="exact"/>
        <w:rPr>
          <w:sz w:val="20"/>
          <w:szCs w:val="20"/>
          <w:color w:val="auto"/>
        </w:rPr>
      </w:pPr>
    </w:p>
    <w:p>
      <w:pPr>
        <w:ind w:right="220" w:firstLine="443"/>
        <w:spacing w:after="0" w:line="264" w:lineRule="auto"/>
        <w:tabs>
          <w:tab w:leader="none" w:pos="60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73" w:lineRule="exact"/>
        <w:rPr>
          <w:rFonts w:ascii="Arial" w:cs="Arial" w:eastAsia="Arial" w:hAnsi="Arial"/>
          <w:sz w:val="18"/>
          <w:szCs w:val="18"/>
          <w:color w:val="auto"/>
        </w:rPr>
      </w:pPr>
    </w:p>
    <w:p>
      <w:pPr>
        <w:ind w:left="640" w:hanging="19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40" w:firstLine="421"/>
        <w:spacing w:after="0" w:line="286" w:lineRule="auto"/>
        <w:tabs>
          <w:tab w:leader="none" w:pos="1020" w:val="left"/>
        </w:tabs>
        <w:numPr>
          <w:ilvl w:val="2"/>
          <w:numId w:val="23"/>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w:t>
      </w:r>
      <w:r>
        <w:rPr>
          <w:rFonts w:ascii="Arial" w:cs="Arial" w:eastAsia="Arial" w:hAnsi="Arial"/>
          <w:sz w:val="17"/>
          <w:szCs w:val="17"/>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57" w:lineRule="exact"/>
        <w:rPr>
          <w:rFonts w:ascii="Arial" w:cs="Arial" w:eastAsia="Arial" w:hAnsi="Arial"/>
          <w:sz w:val="17"/>
          <w:szCs w:val="17"/>
          <w:color w:val="auto"/>
        </w:rPr>
      </w:pPr>
    </w:p>
    <w:p>
      <w:pPr>
        <w:ind w:left="460" w:firstLine="421"/>
        <w:spacing w:after="0" w:line="283" w:lineRule="auto"/>
        <w:tabs>
          <w:tab w:leader="none" w:pos="1070"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w:t>
      </w:r>
    </w:p>
    <w:p>
      <w:pPr>
        <w:spacing w:after="0" w:line="6" w:lineRule="exact"/>
        <w:rPr>
          <w:rFonts w:ascii="Arial" w:cs="Arial" w:eastAsia="Arial" w:hAnsi="Arial"/>
          <w:sz w:val="16"/>
          <w:szCs w:val="16"/>
          <w:color w:val="auto"/>
        </w:rPr>
      </w:pPr>
    </w:p>
    <w:p>
      <w:pPr>
        <w:ind w:left="460" w:right="100" w:firstLine="1"/>
        <w:spacing w:after="0" w:line="261" w:lineRule="auto"/>
        <w:tabs>
          <w:tab w:leader="none" w:pos="7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date on which a record is to be taken for the purpose of such dividend, distribution, redemption, rights or warrants, or if a record is not to be taken, the date as of which the holders</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20" w:name="page21"/>
    <w:bookmarkEnd w:id="20"/>
    <w:p>
      <w:pPr>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of the Company,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443"/>
        <w:spacing w:after="0" w:line="279" w:lineRule="auto"/>
        <w:tabs>
          <w:tab w:leader="none" w:pos="62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Pursuant to Rule FINRA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63" w:lineRule="exact"/>
        <w:rPr>
          <w:rFonts w:ascii="Arial" w:cs="Arial" w:eastAsia="Arial" w:hAnsi="Arial"/>
          <w:sz w:val="17"/>
          <w:szCs w:val="17"/>
          <w:color w:val="auto"/>
        </w:rPr>
      </w:pPr>
    </w:p>
    <w:p>
      <w:pPr>
        <w:ind w:left="1020" w:hanging="139"/>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117" w:lineRule="exact"/>
        <w:rPr>
          <w:rFonts w:ascii="Arial" w:cs="Arial" w:eastAsia="Arial" w:hAnsi="Arial"/>
          <w:sz w:val="18"/>
          <w:szCs w:val="18"/>
          <w:color w:val="auto"/>
        </w:rPr>
      </w:pPr>
    </w:p>
    <w:p>
      <w:pPr>
        <w:ind w:left="460" w:firstLine="421"/>
        <w:spacing w:after="0" w:line="277" w:lineRule="auto"/>
        <w:tabs>
          <w:tab w:leader="none" w:pos="10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62" w:lineRule="exact"/>
        <w:rPr>
          <w:rFonts w:ascii="Arial" w:cs="Arial" w:eastAsia="Arial" w:hAnsi="Arial"/>
          <w:sz w:val="18"/>
          <w:szCs w:val="18"/>
          <w:color w:val="auto"/>
        </w:rPr>
      </w:pPr>
    </w:p>
    <w:p>
      <w:pPr>
        <w:ind w:left="1120" w:hanging="239"/>
        <w:spacing w:after="0"/>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the aggregate amount of securities of the Company held by the Holder or related person do not exceed 1% of the securities being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offered;</w:t>
      </w:r>
    </w:p>
    <w:p>
      <w:pPr>
        <w:spacing w:after="0" w:line="102" w:lineRule="exact"/>
        <w:rPr>
          <w:rFonts w:ascii="Arial" w:cs="Arial" w:eastAsia="Arial" w:hAnsi="Arial"/>
          <w:sz w:val="16"/>
          <w:szCs w:val="16"/>
          <w:color w:val="auto"/>
        </w:rPr>
      </w:pPr>
    </w:p>
    <w:p>
      <w:pPr>
        <w:ind w:left="1100" w:hanging="219"/>
        <w:spacing w:after="0"/>
        <w:tabs>
          <w:tab w:leader="none" w:pos="11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that is beneficially owned on a pro-rata basis by all equity owners of an investment fund, provided that no participating member</w:t>
      </w:r>
    </w:p>
    <w:p>
      <w:pPr>
        <w:spacing w:after="0" w:line="34" w:lineRule="exact"/>
        <w:rPr>
          <w:rFonts w:ascii="Arial" w:cs="Arial" w:eastAsia="Arial" w:hAnsi="Arial"/>
          <w:sz w:val="17"/>
          <w:szCs w:val="17"/>
          <w:color w:val="auto"/>
        </w:rPr>
      </w:pPr>
    </w:p>
    <w:p>
      <w:pPr>
        <w:ind w:left="460"/>
        <w:spacing w:after="0" w:line="261" w:lineRule="auto"/>
        <w:rPr>
          <w:rFonts w:ascii="Arial" w:cs="Arial" w:eastAsia="Arial" w:hAnsi="Arial"/>
          <w:sz w:val="17"/>
          <w:szCs w:val="17"/>
          <w:color w:val="auto"/>
        </w:rPr>
      </w:pPr>
      <w:r>
        <w:rPr>
          <w:rFonts w:ascii="Arial" w:cs="Arial" w:eastAsia="Arial" w:hAnsi="Arial"/>
          <w:sz w:val="18"/>
          <w:szCs w:val="18"/>
          <w:color w:val="auto"/>
        </w:rPr>
        <w:t>manages or otherwise directs investments by the fund, and participating members in the aggregate do not own more than 10% of the equity in the fund; or</w:t>
      </w:r>
    </w:p>
    <w:p>
      <w:pPr>
        <w:spacing w:after="0" w:line="75" w:lineRule="exact"/>
        <w:rPr>
          <w:rFonts w:ascii="Arial" w:cs="Arial" w:eastAsia="Arial" w:hAnsi="Arial"/>
          <w:sz w:val="17"/>
          <w:szCs w:val="17"/>
          <w:color w:val="auto"/>
        </w:rPr>
      </w:pPr>
    </w:p>
    <w:p>
      <w:pPr>
        <w:ind w:left="460" w:right="260" w:firstLine="421"/>
        <w:spacing w:after="0" w:line="277" w:lineRule="auto"/>
        <w:tabs>
          <w:tab w:leader="none" w:pos="10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in this Section 4(a) for the remainder of the time period.</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21" w:name="page22"/>
    <w:bookmarkEnd w:id="21"/>
    <w:p>
      <w:pPr>
        <w:ind w:left="460" w:right="20" w:firstLine="4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foregoing restriction, any applicable securities laws and the conditions set forth in Section 4(d),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71" w:lineRule="exact"/>
        <w:rPr>
          <w:sz w:val="20"/>
          <w:szCs w:val="20"/>
          <w:color w:val="auto"/>
        </w:rPr>
      </w:pPr>
    </w:p>
    <w:p>
      <w:pPr>
        <w:ind w:firstLine="443"/>
        <w:spacing w:after="0" w:line="255" w:lineRule="auto"/>
        <w:tabs>
          <w:tab w:leader="none" w:pos="63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85" w:lineRule="exact"/>
        <w:rPr>
          <w:rFonts w:ascii="Arial" w:cs="Arial" w:eastAsia="Arial" w:hAnsi="Arial"/>
          <w:sz w:val="18"/>
          <w:szCs w:val="18"/>
          <w:color w:val="auto"/>
        </w:rPr>
      </w:pPr>
    </w:p>
    <w:p>
      <w:pPr>
        <w:ind w:right="160" w:firstLine="443"/>
        <w:spacing w:after="0" w:line="257" w:lineRule="auto"/>
        <w:tabs>
          <w:tab w:leader="none" w:pos="62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No Registration Rights.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The Holder acknowledges, by receipt of this Warrant, that the Company is not obligated to register for resale the Warrant Shares underlying this Warrant.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800" w:firstLine="443"/>
        <w:spacing w:after="0" w:line="277" w:lineRule="auto"/>
        <w:tabs>
          <w:tab w:leader="none" w:pos="62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w:t>
      </w:r>
    </w:p>
    <w:p>
      <w:pPr>
        <w:spacing w:after="0" w:line="62" w:lineRule="exact"/>
        <w:rPr>
          <w:rFonts w:ascii="Arial" w:cs="Arial" w:eastAsia="Arial" w:hAnsi="Arial"/>
          <w:sz w:val="18"/>
          <w:szCs w:val="18"/>
          <w:color w:val="auto"/>
        </w:rPr>
      </w:pPr>
    </w:p>
    <w:p>
      <w:pPr>
        <w:ind w:right="120" w:firstLine="443"/>
        <w:spacing w:after="0" w:line="276" w:lineRule="auto"/>
        <w:tabs>
          <w:tab w:leader="none" w:pos="633"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22" w:name="page23"/>
    <w:bookmarkEnd w:id="22"/>
    <w:p>
      <w:pPr>
        <w:ind w:right="260" w:firstLine="443"/>
        <w:spacing w:after="0" w:line="342" w:lineRule="auto"/>
        <w:tabs>
          <w:tab w:leader="none" w:pos="623"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 w:lineRule="exact"/>
        <w:rPr>
          <w:rFonts w:ascii="Arial" w:cs="Arial" w:eastAsia="Arial" w:hAnsi="Arial"/>
          <w:sz w:val="16"/>
          <w:szCs w:val="16"/>
          <w:color w:val="auto"/>
        </w:rPr>
      </w:pPr>
    </w:p>
    <w:p>
      <w:pPr>
        <w:ind w:left="640" w:hanging="19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117" w:lineRule="exact"/>
        <w:rPr>
          <w:sz w:val="20"/>
          <w:szCs w:val="20"/>
          <w:color w:val="auto"/>
        </w:rPr>
      </w:pPr>
    </w:p>
    <w:p>
      <w:pPr>
        <w:ind w:left="460" w:firstLine="420"/>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61" w:lineRule="exact"/>
        <w:rPr>
          <w:sz w:val="20"/>
          <w:szCs w:val="20"/>
          <w:color w:val="auto"/>
        </w:rPr>
      </w:pPr>
    </w:p>
    <w:p>
      <w:pPr>
        <w:ind w:left="460" w:right="80" w:firstLine="420"/>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70" w:lineRule="exact"/>
        <w:rPr>
          <w:sz w:val="20"/>
          <w:szCs w:val="20"/>
          <w:color w:val="auto"/>
        </w:rPr>
      </w:pPr>
    </w:p>
    <w:p>
      <w:pPr>
        <w:jc w:val="both"/>
        <w:ind w:left="460" w:right="140" w:firstLine="420"/>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700" w:top="274" w:right="299" w:bottom="1440" w:gutter="0" w:footer="0" w:header="0"/>
        </w:sectPr>
      </w:pPr>
    </w:p>
    <w:bookmarkStart w:id="23" w:name="page24"/>
    <w:bookmarkEnd w:id="23"/>
    <w:p>
      <w:pPr>
        <w:ind w:right="680" w:firstLine="443"/>
        <w:spacing w:after="0" w:line="277" w:lineRule="auto"/>
        <w:tabs>
          <w:tab w:leader="none" w:pos="62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Underwriting Agreement.</w:t>
      </w:r>
    </w:p>
    <w:p>
      <w:pPr>
        <w:spacing w:after="0" w:line="62" w:lineRule="exact"/>
        <w:rPr>
          <w:rFonts w:ascii="Arial" w:cs="Arial" w:eastAsia="Arial" w:hAnsi="Arial"/>
          <w:sz w:val="18"/>
          <w:szCs w:val="18"/>
          <w:color w:val="auto"/>
        </w:rPr>
      </w:pPr>
    </w:p>
    <w:p>
      <w:pPr>
        <w:ind w:right="300" w:firstLine="443"/>
        <w:spacing w:after="0" w:line="277" w:lineRule="auto"/>
        <w:tabs>
          <w:tab w:leader="none" w:pos="60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62" w:lineRule="exact"/>
        <w:rPr>
          <w:rFonts w:ascii="Arial" w:cs="Arial" w:eastAsia="Arial" w:hAnsi="Arial"/>
          <w:sz w:val="18"/>
          <w:szCs w:val="18"/>
          <w:color w:val="auto"/>
        </w:rPr>
      </w:pPr>
    </w:p>
    <w:p>
      <w:pPr>
        <w:ind w:firstLine="443"/>
        <w:spacing w:after="0" w:line="255" w:lineRule="auto"/>
        <w:tabs>
          <w:tab w:leader="none" w:pos="63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Underwriting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5" w:lineRule="exact"/>
        <w:rPr>
          <w:rFonts w:ascii="Arial" w:cs="Arial" w:eastAsia="Arial" w:hAnsi="Arial"/>
          <w:sz w:val="18"/>
          <w:szCs w:val="18"/>
          <w:color w:val="auto"/>
        </w:rPr>
      </w:pPr>
    </w:p>
    <w:p>
      <w:pPr>
        <w:ind w:right="20" w:firstLine="443"/>
        <w:spacing w:after="0" w:line="277" w:lineRule="auto"/>
        <w:tabs>
          <w:tab w:leader="none" w:pos="63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Underwriting Agreement.</w:t>
      </w:r>
    </w:p>
    <w:p>
      <w:pPr>
        <w:spacing w:after="0" w:line="62" w:lineRule="exact"/>
        <w:rPr>
          <w:rFonts w:ascii="Arial" w:cs="Arial" w:eastAsia="Arial" w:hAnsi="Arial"/>
          <w:sz w:val="18"/>
          <w:szCs w:val="18"/>
          <w:color w:val="auto"/>
        </w:rPr>
      </w:pPr>
    </w:p>
    <w:p>
      <w:pPr>
        <w:ind w:right="160" w:firstLine="443"/>
        <w:spacing w:after="0" w:line="312" w:lineRule="auto"/>
        <w:tabs>
          <w:tab w:leader="none" w:pos="59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38" w:lineRule="exact"/>
        <w:rPr>
          <w:rFonts w:ascii="Arial" w:cs="Arial" w:eastAsia="Arial" w:hAnsi="Arial"/>
          <w:sz w:val="16"/>
          <w:szCs w:val="16"/>
          <w:color w:val="auto"/>
        </w:rPr>
      </w:pPr>
    </w:p>
    <w:p>
      <w:pPr>
        <w:ind w:right="80" w:firstLine="443"/>
        <w:spacing w:after="0" w:line="259" w:lineRule="auto"/>
        <w:tabs>
          <w:tab w:leader="none" w:pos="59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8" w:lineRule="exact"/>
        <w:rPr>
          <w:rFonts w:ascii="Arial" w:cs="Arial" w:eastAsia="Arial" w:hAnsi="Arial"/>
          <w:sz w:val="18"/>
          <w:szCs w:val="18"/>
          <w:color w:val="auto"/>
        </w:rPr>
      </w:pPr>
    </w:p>
    <w:p>
      <w:pPr>
        <w:ind w:right="180" w:firstLine="443"/>
        <w:spacing w:after="0" w:line="259" w:lineRule="auto"/>
        <w:tabs>
          <w:tab w:leader="none" w:pos="63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24" w:name="page25"/>
    <w:bookmarkEnd w:id="24"/>
    <w:p>
      <w:pPr>
        <w:ind w:left="600" w:hanging="157"/>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102" w:lineRule="exact"/>
        <w:rPr>
          <w:rFonts w:ascii="Arial" w:cs="Arial" w:eastAsia="Arial" w:hAnsi="Arial"/>
          <w:sz w:val="16"/>
          <w:szCs w:val="16"/>
          <w:color w:val="auto"/>
        </w:rPr>
      </w:pPr>
    </w:p>
    <w:p>
      <w:pPr>
        <w:ind w:right="300" w:firstLine="443"/>
        <w:spacing w:after="0" w:line="312" w:lineRule="auto"/>
        <w:tabs>
          <w:tab w:leader="none" w:pos="68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8" w:lineRule="exact"/>
        <w:rPr>
          <w:rFonts w:ascii="Arial" w:cs="Arial" w:eastAsia="Arial" w:hAnsi="Arial"/>
          <w:sz w:val="16"/>
          <w:szCs w:val="16"/>
          <w:color w:val="auto"/>
        </w:rPr>
      </w:pPr>
    </w:p>
    <w:p>
      <w:pPr>
        <w:ind w:left="640" w:hanging="197"/>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used in this Warrant are for the convenience of reference only and shall not, for any purpose, be deemed a part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700" w:top="274" w:right="339" w:bottom="1440" w:gutter="0" w:footer="0" w:header="0"/>
        </w:sectPr>
      </w:pPr>
    </w:p>
    <w:bookmarkStart w:id="25" w:name="page26"/>
    <w:bookmarkEnd w:id="2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Warrant to be executed by its officer thereunto duly authorized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ACM RESEARCH,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ACM RESEARCH,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11" w:lineRule="exact"/>
        <w:rPr>
          <w:sz w:val="20"/>
          <w:szCs w:val="20"/>
          <w:color w:val="auto"/>
        </w:rPr>
      </w:pPr>
    </w:p>
    <w:p>
      <w:pPr>
        <w:ind w:right="120" w:firstLine="921"/>
        <w:spacing w:after="0" w:line="277" w:lineRule="auto"/>
        <w:tabs>
          <w:tab w:leader="none" w:pos="11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117" w:lineRule="exact"/>
        <w:rPr>
          <w:sz w:val="20"/>
          <w:szCs w:val="20"/>
          <w:color w:val="auto"/>
        </w:rPr>
      </w:pPr>
    </w:p>
    <w:p>
      <w:pPr>
        <w:ind w:left="15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in lawful money of the United States; or</w:t>
      </w:r>
    </w:p>
    <w:p>
      <w:pPr>
        <w:spacing w:after="0" w:line="117" w:lineRule="exact"/>
        <w:rPr>
          <w:sz w:val="20"/>
          <w:szCs w:val="20"/>
          <w:color w:val="auto"/>
        </w:rPr>
      </w:pPr>
    </w:p>
    <w:p>
      <w:pPr>
        <w:ind w:left="1500" w:right="240" w:hanging="8"/>
        <w:spacing w:after="0" w:line="264"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rFonts w:ascii="Arial" w:cs="Arial" w:eastAsia="Arial" w:hAnsi="Arial"/>
          <w:sz w:val="18"/>
          <w:szCs w:val="18"/>
          <w:color w:val="auto"/>
        </w:rPr>
      </w:pPr>
    </w:p>
    <w:p>
      <w:pPr>
        <w:ind w:firstLine="921"/>
        <w:spacing w:after="0" w:line="277" w:lineRule="auto"/>
        <w:tabs>
          <w:tab w:leader="none" w:pos="11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Please register and issue a certificate or certificates representing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271780</wp:posOffset>
            </wp:positionV>
            <wp:extent cx="31045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 or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855345</wp:posOffset>
            </wp:positionV>
            <wp:extent cx="31045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7">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581025</wp:posOffset>
            </wp:positionV>
            <wp:extent cx="31045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306705</wp:posOffset>
            </wp:positionV>
            <wp:extent cx="31045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____________________________________________________________________________________________</w:t>
      </w:r>
    </w:p>
    <w:p>
      <w:pPr>
        <w:sectPr>
          <w:pgSz w:w="11900" w:h="16838" w:orient="portrait"/>
          <w:cols w:equalWidth="0" w:num="1">
            <w:col w:w="11340"/>
          </w:cols>
          <w:pgMar w:left="240" w:top="270" w:right="319" w:bottom="1440" w:gutter="0" w:footer="0" w:header="0"/>
        </w:sectPr>
      </w:pPr>
    </w:p>
    <w:bookmarkStart w:id="27" w:name="page28"/>
    <w:bookmarkEnd w:id="27"/>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VALUE RECEIVED, [____] all of or [_______] shares of the foregoing Warrant and all rights evidenced thereby are hereby assigned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 whose address 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w:t>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Dated: ______________, _______</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Holder’s Signature: _____________________________</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Holder’s Address: ______________________________</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sectPr>
          <w:pgSz w:w="11900" w:h="16838" w:orient="portrait"/>
          <w:cols w:equalWidth="0" w:num="1">
            <w:col w:w="11240"/>
          </w:cols>
          <w:pgMar w:left="240" w:top="270" w:right="4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77620" cy="1106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extLst>
                    </a:blip>
                    <a:srcRect/>
                    <a:stretch>
                      <a:fillRect/>
                    </a:stretch>
                  </pic:blipFill>
                  <pic:spPr bwMode="auto">
                    <a:xfrm>
                      <a:off x="0" y="0"/>
                      <a:ext cx="127762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November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opinion is furnished to you in connection with a Registration Statement on Form S-1 (File No. 333-220451) originally filed with the Securities and Exchange Commission on September 13, 2017 (as amended,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for the proposed issuance and sale by the Company of 2,300,000 shares (the “</w:t>
      </w:r>
      <w:r>
        <w:rPr>
          <w:rFonts w:ascii="Arial" w:cs="Arial" w:eastAsia="Arial" w:hAnsi="Arial"/>
          <w:sz w:val="17"/>
          <w:szCs w:val="17"/>
          <w:i w:val="1"/>
          <w:iCs w:val="1"/>
          <w:color w:val="auto"/>
        </w:rPr>
        <w:t>Shares</w:t>
      </w:r>
      <w:r>
        <w:rPr>
          <w:rFonts w:ascii="Arial" w:cs="Arial" w:eastAsia="Arial" w:hAnsi="Arial"/>
          <w:sz w:val="17"/>
          <w:szCs w:val="17"/>
          <w:color w:val="auto"/>
        </w:rPr>
        <w:t>”) of the Company’s Class A common stock, $0.0001 par value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including 300,000 Shares issuable upon exercise of an over-allotment option granted by the Company.</w:t>
      </w:r>
    </w:p>
    <w:p>
      <w:pPr>
        <w:spacing w:after="0" w:line="1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are acting as counsel to the Company in connection with the filing of the Registration Statement and the offering and sale of the Shares, and you have requested our opinion as to the matter set forth below in connection with the issuance of the Shares. For purposes of rendering that opinion, we have examined:</w:t>
      </w:r>
    </w:p>
    <w:p>
      <w:pPr>
        <w:spacing w:after="0" w:line="8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signed copies of the Registration Statement and pre-effective Amendments Nos. 1 and 2 thereto;</w:t>
      </w:r>
    </w:p>
    <w:p>
      <w:pPr>
        <w:spacing w:after="0" w:line="130" w:lineRule="exact"/>
        <w:rPr>
          <w:rFonts w:ascii="Arial" w:cs="Arial" w:eastAsia="Arial" w:hAnsi="Arial"/>
          <w:sz w:val="18"/>
          <w:szCs w:val="18"/>
          <w:color w:val="auto"/>
        </w:rPr>
      </w:pPr>
    </w:p>
    <w:p>
      <w:pPr>
        <w:ind w:left="900" w:right="40" w:hanging="446"/>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underwriting agreement to be entered into between the Company and Roth Capital Partners, LLC, as representative of the several underwriters named on Schedule I hereto (the “</w:t>
      </w:r>
      <w:r>
        <w:rPr>
          <w:rFonts w:ascii="Arial" w:cs="Arial" w:eastAsia="Arial" w:hAnsi="Arial"/>
          <w:sz w:val="17"/>
          <w:szCs w:val="17"/>
          <w:i w:val="1"/>
          <w:iCs w:val="1"/>
          <w:color w:val="auto"/>
        </w:rPr>
        <w:t>Underwriting Agreement</w:t>
      </w:r>
      <w:r>
        <w:rPr>
          <w:rFonts w:ascii="Arial" w:cs="Arial" w:eastAsia="Arial" w:hAnsi="Arial"/>
          <w:sz w:val="17"/>
          <w:szCs w:val="17"/>
          <w:color w:val="auto"/>
        </w:rPr>
        <w:t>”), in the form filed as Exhibit 1.01 to the Registration Statement;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amended to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bylaws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stock record books of the Company, as furnished by the Company;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minutes of meetings, and written consents, of the stockholders and board of directors of the Company as furnished by the Company, including the corporate actions of the Company’s board of directors that authorize the issuance of the Shares;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other documents as we have deemed necessary for purposes of rendering the opinion set forth below.</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our examination of the foregoing documents, we have assumed the accuracy and completeness of each document furnished to us, the authenticity of all documents submitted to us as originals, the conformity to original documents of all documents submitted to us as copies and the authenticity of all such originals, the legal competence of all signatories to such documents, and the genuineness of all signatures.</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opinion is limited to the General Corporation Law of the State of Delaware.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K&amp;L Gates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and subject to the foregoing, it is our opinion that the Shares have been duly authorized for issuance and, when issued and paid for in accordance with the terms and conditions of the Underwriting Agreement exercise of an over-allotment option granted by the Company, will be validly issued, fully paid and non-assessable.</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hereby consent to the filing of this opinion letter with the Securities and Exchange Commission as Exhibit 5.01 to the Registration Statement and to the reference to our firm under the caption “Legal Matters” in the Registration Statement and the related Prospectus. In giving our consent, we do not thereby admit that we are experts with respect to any part of the Registration Statement, the related Prospectus or any supplement thereto within the meaning of the term “expert,” as used in Section 11 of the Securities Act or the rules and regulations promulgated thereunder, nor do we admit that we are in the category of persons whose consent is required under Section 7 of the Securities Act or the rules and regulations thereunder.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K&amp;L Gates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K&amp;L G</w:t>
      </w:r>
      <w:r>
        <w:rPr>
          <w:rFonts w:ascii="Arial" w:cs="Arial" w:eastAsia="Arial" w:hAnsi="Arial"/>
          <w:sz w:val="15"/>
          <w:szCs w:val="15"/>
          <w:color w:val="auto"/>
        </w:rPr>
        <w:t>ATES</w:t>
      </w:r>
      <w:r>
        <w:rPr>
          <w:rFonts w:ascii="Arial" w:cs="Arial" w:eastAsia="Arial" w:hAnsi="Arial"/>
          <w:sz w:val="18"/>
          <w:szCs w:val="18"/>
          <w:color w:val="auto"/>
        </w:rPr>
        <w:t xml:space="preserve"> LLP</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bullet"/>
      <w:start w:val="1"/>
    </w:lvl>
  </w:abstractNum>
  <w:abstractNum w:abstractNumId="7">
    <w:nsid w:val="62BBD95A"/>
    <w:multiLevelType w:val="hybridMultilevel"/>
    <w:lvl w:ilvl="0">
      <w:lvlJc w:val="left"/>
      <w:lvlText w:val="2"/>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2"/>
    </w:lvl>
  </w:abstractNum>
  <w:abstractNum w:abstractNumId="11">
    <w:nsid w:val="721DA317"/>
    <w:multiLevelType w:val="hybridMultilevel"/>
    <w:lvl w:ilvl="0">
      <w:lvlJc w:val="left"/>
      <w:lvlText w:val="(%1)"/>
      <w:numFmt w:val="upperLetter"/>
      <w:start w:val="1"/>
    </w:lvl>
  </w:abstractNum>
  <w:abstractNum w:abstractNumId="12">
    <w:nsid w:val="2443A858"/>
    <w:multiLevelType w:val="hybridMultilevel"/>
    <w:lvl w:ilvl="0">
      <w:lvlJc w:val="left"/>
      <w:lvlText w:val="(%1)"/>
      <w:numFmt w:val="upperLetter"/>
      <w:start w:val="24"/>
    </w:lvl>
  </w:abstractNum>
  <w:abstractNum w:abstractNumId="13">
    <w:nsid w:val="2D1D5AE9"/>
    <w:multiLevelType w:val="hybridMultilevel"/>
    <w:lvl w:ilvl="0">
      <w:lvlJc w:val="left"/>
      <w:lvlText w:val="4"/>
      <w:numFmt w:val="bullet"/>
      <w:start w:val="1"/>
    </w:lvl>
  </w:abstractNum>
  <w:abstractNum w:abstractNumId="14">
    <w:nsid w:val="6763845E"/>
    <w:multiLevelType w:val="hybridMultilevel"/>
    <w:lvl w:ilvl="0">
      <w:lvlJc w:val="left"/>
      <w:lvlText w:val="%1)"/>
      <w:numFmt w:val="lowerLetter"/>
      <w:start w:val="4"/>
    </w:lvl>
    <w:lvl w:ilvl="1">
      <w:lvlJc w:val="left"/>
      <w:lvlText w:val="(%2)"/>
      <w:numFmt w:val="lowerLetter"/>
      <w:start w:val="24"/>
    </w:lvl>
    <w:lvl w:ilvl="2">
      <w:lvlJc w:val="left"/>
      <w:lvlText w:val="%3."/>
      <w:numFmt w:val="lowerRoman"/>
      <w:start w:val="1"/>
    </w:lvl>
  </w:abstractNum>
  <w:abstractNum w:abstractNumId="15">
    <w:nsid w:val="75A2A8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6">
    <w:nsid w:val="8EDBDAB"/>
    <w:multiLevelType w:val="hybridMultilevel"/>
    <w:lvl w:ilvl="0">
      <w:lvlJc w:val="left"/>
      <w:lvlText w:val="%1."/>
      <w:numFmt w:val="lowerRoman"/>
      <w:start w:val="3"/>
    </w:lvl>
  </w:abstractNum>
  <w:abstractNum w:abstractNumId="17">
    <w:nsid w:val="79838CB2"/>
    <w:multiLevelType w:val="hybridMultilevel"/>
    <w:lvl w:ilvl="0">
      <w:lvlJc w:val="left"/>
      <w:lvlText w:val="%1"/>
      <w:numFmt w:val="lowerLetter"/>
      <w:start w:val="1"/>
    </w:lvl>
    <w:lvl w:ilvl="1">
      <w:lvlJc w:val="left"/>
      <w:lvlText w:val="%2."/>
      <w:numFmt w:val="lowerRoman"/>
      <w:start w:val="6"/>
    </w:lvl>
  </w:abstractNum>
  <w:abstractNum w:abstractNumId="18">
    <w:nsid w:val="4353D0CD"/>
    <w:multiLevelType w:val="hybridMultilevel"/>
    <w:lvl w:ilvl="0">
      <w:lvlJc w:val="left"/>
      <w:lvlText w:val="%1)"/>
      <w:numFmt w:val="lowerLetter"/>
      <w:start w:val="5"/>
    </w:lvl>
    <w:lvl w:ilvl="1">
      <w:lvlJc w:val="left"/>
      <w:lvlText w:val="%2"/>
      <w:numFmt w:val="lowerRoman"/>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Roman"/>
      <w:start w:val="1"/>
    </w:lvl>
    <w:lvl w:ilvl="1">
      <w:lvlJc w:val="left"/>
      <w:lvlText w:val="%2)"/>
      <w:numFmt w:val="lowerLetter"/>
      <w:start w:val="2"/>
    </w:lvl>
  </w:abstractNum>
  <w:abstractNum w:abstractNumId="21">
    <w:nsid w:val="54E49EB4"/>
    <w:multiLevelType w:val="hybridMultilevel"/>
    <w:lvl w:ilvl="0">
      <w:lvlJc w:val="left"/>
      <w:lvlText w:val="(%1)"/>
      <w:numFmt w:val="lowerRoman"/>
      <w:start w:val="3"/>
    </w:lvl>
    <w:lvl w:ilvl="1">
      <w:lvlJc w:val="left"/>
      <w:lvlText w:val="%2"/>
      <w:numFmt w:val="lowerLetter"/>
      <w:start w:val="1"/>
    </w:lvl>
  </w:abstractNum>
  <w:abstractNum w:abstractNumId="22">
    <w:nsid w:val="71F32454"/>
    <w:multiLevelType w:val="hybridMultilevel"/>
    <w:lvl w:ilvl="0">
      <w:lvlJc w:val="left"/>
      <w:lvlText w:val="%1)"/>
      <w:numFmt w:val="lowerLetter"/>
      <w:start w:val="6"/>
    </w:lvl>
    <w:lvl w:ilvl="1">
      <w:lvlJc w:val="left"/>
      <w:lvlText w:val="(%2)"/>
      <w:numFmt w:val="lowerRoman"/>
      <w:start w:val="9"/>
    </w:lvl>
    <w:lvl w:ilvl="2">
      <w:lvlJc w:val="left"/>
      <w:lvlText w:val="%3."/>
      <w:numFmt w:val="lowerRoman"/>
      <w:start w:val="1"/>
    </w:lvl>
  </w:abstractNum>
  <w:abstractNum w:abstractNumId="23">
    <w:nsid w:val="2CA88611"/>
    <w:multiLevelType w:val="hybridMultilevel"/>
    <w:lvl w:ilvl="0">
      <w:lvlJc w:val="left"/>
      <w:lvlText w:val="%1)"/>
      <w:numFmt w:val="lowerLetter"/>
      <w:start w:val="1"/>
    </w:lvl>
    <w:lvl w:ilvl="1">
      <w:lvlJc w:val="left"/>
      <w:lvlText w:val="%2."/>
      <w:numFmt w:val="lowerRoman"/>
      <w:start w:val="1"/>
    </w:lvl>
  </w:abstractNum>
  <w:abstractNum w:abstractNumId="24">
    <w:nsid w:val="836C40E"/>
    <w:multiLevelType w:val="hybridMultilevel"/>
    <w:lvl w:ilvl="0">
      <w:lvlJc w:val="left"/>
      <w:lvlText w:val="%1)"/>
      <w:numFmt w:val="lowerLetter"/>
      <w:start w:val="2"/>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3"/>
    </w:lvl>
  </w:abstractNum>
  <w:abstractNum w:abstractNumId="27">
    <w:nsid w:val="8138641"/>
    <w:multiLevelType w:val="hybridMultilevel"/>
    <w:lvl w:ilvl="0">
      <w:lvlJc w:val="left"/>
      <w:lvlText w:val="%1)"/>
      <w:numFmt w:val="lowerLetter"/>
      <w:start w:val="5"/>
    </w:lvl>
  </w:abstractNum>
  <w:abstractNum w:abstractNumId="28">
    <w:nsid w:val="1E7FF521"/>
    <w:multiLevelType w:val="hybridMultilevel"/>
    <w:lvl w:ilvl="0">
      <w:lvlJc w:val="left"/>
      <w:lvlText w:val="%1)"/>
      <w:numFmt w:val="lowerLetter"/>
      <w:start w:val="12"/>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2"/>
    </w:lvl>
    <w:lvl w:ilvl="1">
      <w:lvlJc w:val="left"/>
      <w:lvlText w:val="["/>
      <w:numFmt w:val="bullet"/>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59" Type="http://schemas.openxmlformats.org/officeDocument/2006/relationships/image" Target="media/image16.png"/><Relationship Id="rId60" Type="http://schemas.openxmlformats.org/officeDocument/2006/relationships/image" Target="media/image17.png"/><Relationship Id="rId61" Type="http://schemas.openxmlformats.org/officeDocument/2006/relationships/image" Target="media/image18.png"/><Relationship Id="rId62" Type="http://schemas.openxmlformats.org/officeDocument/2006/relationships/image" Target="media/image19.png"/><Relationship Id="rId63" Type="http://schemas.openxmlformats.org/officeDocument/2006/relationships/image" Target="media/image20.png"/><Relationship Id="rId64" Type="http://schemas.openxmlformats.org/officeDocument/2006/relationships/image" Target="media/image21.png"/><Relationship Id="rId65" Type="http://schemas.openxmlformats.org/officeDocument/2006/relationships/image" Target="media/image22.png"/><Relationship Id="rId66" Type="http://schemas.openxmlformats.org/officeDocument/2006/relationships/image" Target="media/image23.png"/><Relationship Id="rId67" Type="http://schemas.openxmlformats.org/officeDocument/2006/relationships/image" Target="media/image24.png"/><Relationship Id="rId68" Type="http://schemas.openxmlformats.org/officeDocument/2006/relationships/image" Target="media/image25.png"/><Relationship Id="rId69" Type="http://schemas.openxmlformats.org/officeDocument/2006/relationships/image" Target="media/image26.png"/><Relationship Id="rId70" Type="http://schemas.openxmlformats.org/officeDocument/2006/relationships/image" Target="media/image27.png"/><Relationship Id="rId71" Type="http://schemas.openxmlformats.org/officeDocument/2006/relationships/image" Target="media/image28.png"/><Relationship Id="rId72" Type="http://schemas.openxmlformats.org/officeDocument/2006/relationships/image" Target="media/image29.png"/><Relationship Id="rId73" Type="http://schemas.openxmlformats.org/officeDocument/2006/relationships/image" Target="media/image30.png"/><Relationship Id="rId74" Type="http://schemas.openxmlformats.org/officeDocument/2006/relationships/image" Target="media/image31.png"/><Relationship Id="rId75" Type="http://schemas.openxmlformats.org/officeDocument/2006/relationships/image" Target="media/image32.png"/><Relationship Id="rId76" Type="http://schemas.openxmlformats.org/officeDocument/2006/relationships/image" Target="media/image33.png"/><Relationship Id="rId77" Type="http://schemas.openxmlformats.org/officeDocument/2006/relationships/image" Target="media/image34.png"/><Relationship Id="rId78" Type="http://schemas.openxmlformats.org/officeDocument/2006/relationships/image" Target="media/image35.png"/><Relationship Id="rId79" Type="http://schemas.openxmlformats.org/officeDocument/2006/relationships/image" Target="media/image36.png"/><Relationship Id="rId80" Type="http://schemas.openxmlformats.org/officeDocument/2006/relationships/image" Target="media/image37.png"/><Relationship Id="rId81" Type="http://schemas.openxmlformats.org/officeDocument/2006/relationships/image" Target="media/image38.png"/><Relationship Id="rId82" Type="http://schemas.openxmlformats.org/officeDocument/2006/relationships/image" Target="media/image39.png"/><Relationship Id="rId83" Type="http://schemas.openxmlformats.org/officeDocument/2006/relationships/image" Target="media/image40.png"/><Relationship Id="rId84" Type="http://schemas.openxmlformats.org/officeDocument/2006/relationships/image" Target="media/image41.png"/><Relationship Id="rId85" Type="http://schemas.openxmlformats.org/officeDocument/2006/relationships/image" Target="media/image42.png"/><Relationship Id="rId86" Type="http://schemas.openxmlformats.org/officeDocument/2006/relationships/image" Target="media/image43.png"/><Relationship Id="rId87" Type="http://schemas.openxmlformats.org/officeDocument/2006/relationships/image" Target="media/image44.png"/><Relationship Id="rId88" Type="http://schemas.openxmlformats.org/officeDocument/2006/relationships/image" Target="media/image45.png"/><Relationship Id="rId89" Type="http://schemas.openxmlformats.org/officeDocument/2006/relationships/image" Target="media/image46.png"/><Relationship Id="rId90" Type="http://schemas.openxmlformats.org/officeDocument/2006/relationships/image" Target="media/image47.png"/><Relationship Id="rId91" Type="http://schemas.openxmlformats.org/officeDocument/2006/relationships/image" Target="media/image48.jpeg"/><Relationship Id="rId92" Type="http://schemas.openxmlformats.org/officeDocument/2006/relationships/image" Target="media/image49.png"/><Relationship Id="rId23" Type="http://schemas.openxmlformats.org/officeDocument/2006/relationships/hyperlink" Target="http://www.sec.gov/Archives/edgar/data/1680062/000119312517312780/d311227dex101.htm" TargetMode="External"/><Relationship Id="rId24" Type="http://schemas.openxmlformats.org/officeDocument/2006/relationships/hyperlink" Target="http://www.sec.gov/Archives/edgar/data/1680062/000119312517283955/d311227dex301.htm" TargetMode="External"/><Relationship Id="rId25" Type="http://schemas.openxmlformats.org/officeDocument/2006/relationships/hyperlink" Target="http://www.sec.gov/Archives/edgar/data/1680062/000119312517283955/d311227dex302.htm" TargetMode="External"/><Relationship Id="rId26" Type="http://schemas.openxmlformats.org/officeDocument/2006/relationships/hyperlink" Target="http://www.sec.gov/Archives/edgar/data/1680062/000119312517312780/d311227dex303.htm" TargetMode="External"/><Relationship Id="rId27" Type="http://schemas.openxmlformats.org/officeDocument/2006/relationships/hyperlink" Target="http://www.sec.gov/Archives/edgar/data/1680062/000119312517312780/d311227dex304.htm" TargetMode="External"/><Relationship Id="rId28" Type="http://schemas.openxmlformats.org/officeDocument/2006/relationships/hyperlink" Target="http://www.sec.gov/Archives/edgar/data/1680062/000119312517312780/d311227dex401.htm" TargetMode="External"/><Relationship Id="rId29" Type="http://schemas.openxmlformats.org/officeDocument/2006/relationships/hyperlink" Target="http://www.sec.gov/Archives/edgar/data/1680062/000119312517283955/d311227dex1001.htm" TargetMode="External"/><Relationship Id="rId30" Type="http://schemas.openxmlformats.org/officeDocument/2006/relationships/hyperlink" Target="http://www.sec.gov/Archives/edgar/data/1680062/000119312517283955/d311227dex1002.htm" TargetMode="External"/><Relationship Id="rId31" Type="http://schemas.openxmlformats.org/officeDocument/2006/relationships/hyperlink" Target="http://www.sec.gov/Archives/edgar/data/1680062/000119312517283955/d311227dex1003.htm" TargetMode="External"/><Relationship Id="rId32" Type="http://schemas.openxmlformats.org/officeDocument/2006/relationships/hyperlink" Target="http://www.sec.gov/Archives/edgar/data/1680062/000119312517283955/d311227dex1003a.htm" TargetMode="External"/><Relationship Id="rId33" Type="http://schemas.openxmlformats.org/officeDocument/2006/relationships/hyperlink" Target="http://www.sec.gov/Archives/edgar/data/1680062/000119312517312780/d311227dex1004.htm" TargetMode="External"/><Relationship Id="rId34" Type="http://schemas.openxmlformats.org/officeDocument/2006/relationships/hyperlink" Target="http://www.sec.gov/Archives/edgar/data/1680062/000119312517283955/d311227dex1005.htm" TargetMode="External"/><Relationship Id="rId35" Type="http://schemas.openxmlformats.org/officeDocument/2006/relationships/hyperlink" Target="http://www.sec.gov/Archives/edgar/data/1680062/000119312517283955/d311227dex1006.htm" TargetMode="External"/><Relationship Id="rId36" Type="http://schemas.openxmlformats.org/officeDocument/2006/relationships/hyperlink" Target="http://www.sec.gov/Archives/edgar/data/1680062/000119312517312780/d311227dex1007.htm" TargetMode="External"/><Relationship Id="rId37" Type="http://schemas.openxmlformats.org/officeDocument/2006/relationships/hyperlink" Target="http://www.sec.gov/Archives/edgar/data/1680062/000119312517312780/d311227dex1008.htm" TargetMode="External"/><Relationship Id="rId38" Type="http://schemas.openxmlformats.org/officeDocument/2006/relationships/hyperlink" Target="http://www.sec.gov/Archives/edgar/data/1680062/000119312517312780/d311227dex1009.htm" TargetMode="External"/><Relationship Id="rId39" Type="http://schemas.openxmlformats.org/officeDocument/2006/relationships/hyperlink" Target="http://www.sec.gov/Archives/edgar/data/1680062/000119312517312780/d311227dex1010.htm" TargetMode="External"/><Relationship Id="rId40" Type="http://schemas.openxmlformats.org/officeDocument/2006/relationships/hyperlink" Target="http://www.sec.gov/Archives/edgar/data/1680062/000119312517312780/d311227dex1011.htm" TargetMode="External"/><Relationship Id="rId41" Type="http://schemas.openxmlformats.org/officeDocument/2006/relationships/hyperlink" Target="http://www.sec.gov/Archives/edgar/data/1680062/000119312517312780/d311227dex1012.htm" TargetMode="External"/><Relationship Id="rId42" Type="http://schemas.openxmlformats.org/officeDocument/2006/relationships/hyperlink" Target="http://www.sec.gov/Archives/edgar/data/1680062/000119312517312780/d311227dex1013.htm" TargetMode="External"/><Relationship Id="rId43" Type="http://schemas.openxmlformats.org/officeDocument/2006/relationships/hyperlink" Target="http://www.sec.gov/Archives/edgar/data/1680062/000119312517283955/d311227dex1010.htm" TargetMode="External"/><Relationship Id="rId44" Type="http://schemas.openxmlformats.org/officeDocument/2006/relationships/hyperlink" Target="http://www.sec.gov/Archives/edgar/data/1680062/000119312517283955/d311227dex1010a.htm" TargetMode="External"/><Relationship Id="rId45" Type="http://schemas.openxmlformats.org/officeDocument/2006/relationships/hyperlink" Target="http://www.sec.gov/Archives/edgar/data/1680062/000119312517283955/d311227dex1010b.htm" TargetMode="External"/><Relationship Id="rId46" Type="http://schemas.openxmlformats.org/officeDocument/2006/relationships/hyperlink" Target="http://www.sec.gov/Archives/edgar/data/1680062/000119312517283955/d311227dex1010c.htm" TargetMode="External"/><Relationship Id="rId47" Type="http://schemas.openxmlformats.org/officeDocument/2006/relationships/hyperlink" Target="http://www.sec.gov/Archives/edgar/data/1680062/000119312517283955/d311227dex1011.htm" TargetMode="External"/><Relationship Id="rId48" Type="http://schemas.openxmlformats.org/officeDocument/2006/relationships/hyperlink" Target="http://www.sec.gov/Archives/edgar/data/1680062/000119312517283955/d311227dex1012.htm" TargetMode="External"/><Relationship Id="rId49" Type="http://schemas.openxmlformats.org/officeDocument/2006/relationships/hyperlink" Target="http://www.sec.gov/Archives/edgar/data/1680062/000119312517283955/d311227dex1012a.htm" TargetMode="External"/><Relationship Id="rId50" Type="http://schemas.openxmlformats.org/officeDocument/2006/relationships/hyperlink" Target="http://www.sec.gov/Archives/edgar/data/1680062/000119312517283955/d311227dex1012b.htm" TargetMode="External"/><Relationship Id="rId51" Type="http://schemas.openxmlformats.org/officeDocument/2006/relationships/hyperlink" Target="http://www.sec.gov/Archives/edgar/data/1680062/000119312517283955/d311227dex1013.htm" TargetMode="External"/><Relationship Id="rId52" Type="http://schemas.openxmlformats.org/officeDocument/2006/relationships/hyperlink" Target="http://www.sec.gov/Archives/edgar/data/1680062/000119312517283955/d311227dex1014.htm" TargetMode="External"/><Relationship Id="rId53" Type="http://schemas.openxmlformats.org/officeDocument/2006/relationships/hyperlink" Target="http://www.sec.gov/Archives/edgar/data/1680062/000119312517325139/d311227dex1019.htm" TargetMode="External"/><Relationship Id="rId54" Type="http://schemas.openxmlformats.org/officeDocument/2006/relationships/hyperlink" Target="http://www.sec.gov/Archives/edgar/data/1680062/000119312517325139/d311227dex1020.htm" TargetMode="External"/><Relationship Id="rId55" Type="http://schemas.openxmlformats.org/officeDocument/2006/relationships/hyperlink" Target="http://www.sec.gov/Archives/edgar/data/1680062/000119312517283955/d311227dex2101.htm" TargetMode="External"/><Relationship Id="rId56" Type="http://schemas.openxmlformats.org/officeDocument/2006/relationships/hyperlink" Target="http://www.sec.gov/Archives/edgar/data/1680062/000119312517319406/d311227dex2301.htm" TargetMode="External"/><Relationship Id="rId57" Type="http://schemas.openxmlformats.org/officeDocument/2006/relationships/hyperlink" Target="http://www.sec.gov/Archives/edgar/data/1680062/000119312517283955/d311227ds1.htm" TargetMode="External"/><Relationship Id="rId58" Type="http://schemas.openxmlformats.org/officeDocument/2006/relationships/hyperlink" Target="http://www.sec.gov/Archives/edgar/data/1680062/000119312517319406/d311227d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2019-12-08T06:21:46Z</dcterms:created>
  <dcterms:modified xsi:type="dcterms:W3CDTF">2019-12-08T06:21:46Z</dcterms:modified>
</cp:coreProperties>
</file>