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ACM Research,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00"/>
          </w:cols>
          <w:pgMar w:left="240" w:top="557" w:right="359" w:bottom="1440" w:gutter="0" w:footer="0" w:header="0"/>
        </w:sectPr>
      </w:pPr>
    </w:p>
    <w:p>
      <w:pPr>
        <w:spacing w:after="0" w:line="232"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001-38273</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94-3290283</w:t>
      </w:r>
    </w:p>
    <w:p>
      <w:pPr>
        <w:spacing w:after="0" w:line="50" w:lineRule="exact"/>
        <w:rPr>
          <w:sz w:val="24"/>
          <w:szCs w:val="24"/>
          <w:color w:val="auto"/>
        </w:rPr>
      </w:pPr>
    </w:p>
    <w:p>
      <w:pPr>
        <w:sectPr>
          <w:pgSz w:w="11900" w:h="16838" w:orient="portrait"/>
          <w:cols w:equalWidth="0" w:num="3">
            <w:col w:w="4840" w:space="720"/>
            <w:col w:w="2940" w:space="720"/>
            <w:col w:w="2080"/>
          </w:cols>
          <w:pgMar w:left="240" w:top="557" w:right="359" w:bottom="1440" w:gutter="0" w:footer="0" w:header="0"/>
          <w:type w:val="continuous"/>
        </w:sectPr>
      </w:pPr>
    </w:p>
    <w:p>
      <w:pPr>
        <w:ind w:left="1080"/>
        <w:spacing w:after="0"/>
        <w:rPr>
          <w:sz w:val="20"/>
          <w:szCs w:val="20"/>
          <w:color w:val="auto"/>
        </w:rPr>
      </w:pPr>
      <w:r>
        <w:rPr>
          <w:rFonts w:ascii="Arial" w:cs="Arial" w:eastAsia="Arial" w:hAnsi="Arial"/>
          <w:sz w:val="13"/>
          <w:szCs w:val="13"/>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 w:lineRule="exact"/>
        <w:rPr>
          <w:sz w:val="24"/>
          <w:szCs w:val="24"/>
          <w:color w:val="auto"/>
        </w:rPr>
      </w:pPr>
    </w:p>
    <w:p>
      <w:pPr>
        <w:sectPr>
          <w:pgSz w:w="11900" w:h="16838" w:orient="portrait"/>
          <w:cols w:equalWidth="0" w:num="3">
            <w:col w:w="4400" w:space="720"/>
            <w:col w:w="2720" w:space="720"/>
            <w:col w:w="2740"/>
          </w:cols>
          <w:pgMar w:left="240" w:top="557" w:right="359" w:bottom="1440" w:gutter="0" w:footer="0" w:header="0"/>
          <w:type w:val="continuous"/>
        </w:sectPr>
      </w:pPr>
    </w:p>
    <w:p>
      <w:pPr>
        <w:ind w:left="1040"/>
        <w:spacing w:after="0"/>
        <w:rPr>
          <w:sz w:val="20"/>
          <w:szCs w:val="20"/>
          <w:color w:val="auto"/>
        </w:rPr>
      </w:pPr>
      <w:r>
        <w:rPr>
          <w:rFonts w:ascii="Arial" w:cs="Arial" w:eastAsia="Arial" w:hAnsi="Arial"/>
          <w:sz w:val="14"/>
          <w:szCs w:val="14"/>
          <w:b w:val="1"/>
          <w:bCs w:val="1"/>
          <w:color w:val="auto"/>
        </w:rPr>
        <w:t>Incorporation or Organization)</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42307 Osgood Road, Suite I, Fremont, California 94539</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300"/>
          </w:cols>
          <w:pgMar w:left="240" w:top="557" w:right="359" w:bottom="1440" w:gutter="0" w:footer="0" w:header="0"/>
          <w:type w:val="continuous"/>
        </w:sectPr>
      </w:pP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(510) 445-3700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6"/>
          <w:szCs w:val="16"/>
          <w:b w:val="1"/>
          <w:bCs w:val="1"/>
          <w:color w:val="auto"/>
        </w:rPr>
        <w:t>Departure of Directors or Certain Officers; Election of Directors; Appointment of Certain Officers; Compensatory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On January 17, 2018, the board of directors appointed Lisa Feng to serve as our Chief Accounting Officer and, pending our identification and engagement of a principal financial officer, as our Interim Chief Financial Officer and Treasurer.</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Ms. Feng has served as our Financial Controller since October 2017. From August 2008 through September 2017, Ms. Feng was Corporate Controller of Amlogic, Inc., a fabless semiconductor manufacturing company. Ms. Feng holds a bachelor’s degree from Southern Connecticut State University and a master’s degree from Golden Gate University. Ms. Feng is 59 years old.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9, 2018, the board of directors appointed Zhengfan Yang as one of our directors, effective upon appointment and continuing until our 2018 Annual Meeting of Stockholders. Mr. Yang’s appointment is in accordance with the Nomination and Voting Agreement by and among us, Xinxin (Hongkong) Capital Co., Limited and the several individuals and entities named therein and dated as of October 11, 2017, pursuant to which Xinxin (Hongkong) Capital Co., Limited has the right to nominate and elect one designee to our board.</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Yang has been the Director of the Direct Investment Division III of Sino IC Capital Co., Ltd. since February 2017. He served as Associate Director of the Direct Investment Division I of Sino IC Capital Co., Ltd. from December 2014 to February 2017 and as Vice President of CDB Urban Development Fund from November 2011 until December 2014. Mr. Yang holds a bachelor’s degree from Zhejiang University as well as a master’s degree from the University of Bristol. He is 36 years old.</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ACM R</w:t>
            </w:r>
            <w:r>
              <w:rPr>
                <w:rFonts w:ascii="Arial" w:cs="Arial" w:eastAsia="Arial" w:hAnsi="Arial"/>
                <w:sz w:val="15"/>
                <w:szCs w:val="15"/>
                <w:color w:val="auto"/>
              </w:rPr>
              <w:t>ESEARCH</w:t>
            </w:r>
            <w:r>
              <w:rPr>
                <w:rFonts w:ascii="Arial" w:cs="Arial" w:eastAsia="Arial" w:hAnsi="Arial"/>
                <w:sz w:val="18"/>
                <w:szCs w:val="18"/>
                <w:color w:val="auto"/>
              </w:rPr>
              <w:t>, I</w:t>
            </w:r>
            <w:r>
              <w:rPr>
                <w:rFonts w:ascii="Arial" w:cs="Arial" w:eastAsia="Arial" w:hAnsi="Arial"/>
                <w:sz w:val="15"/>
                <w:szCs w:val="15"/>
                <w:color w:val="auto"/>
              </w:rPr>
              <w:t>NC</w:t>
            </w:r>
            <w:r>
              <w:rPr>
                <w:rFonts w:ascii="Arial" w:cs="Arial" w:eastAsia="Arial" w:hAnsi="Arial"/>
                <w:sz w:val="18"/>
                <w:szCs w:val="18"/>
                <w:color w:val="auto"/>
              </w:rPr>
              <w:t>.</w:t>
            </w:r>
          </w:p>
        </w:tc>
      </w:tr>
      <w:tr>
        <w:trPr>
          <w:trHeight w:val="540"/>
        </w:trPr>
        <w:tc>
          <w:tcPr>
            <w:tcW w:w="3800" w:type="dxa"/>
            <w:vAlign w:val="bottom"/>
          </w:tcPr>
          <w:p>
            <w:pPr>
              <w:spacing w:after="0"/>
              <w:rPr>
                <w:sz w:val="20"/>
                <w:szCs w:val="20"/>
                <w:color w:val="auto"/>
              </w:rPr>
            </w:pPr>
            <w:r>
              <w:rPr>
                <w:rFonts w:ascii="Arial" w:cs="Arial" w:eastAsia="Arial" w:hAnsi="Arial"/>
                <w:sz w:val="18"/>
                <w:szCs w:val="18"/>
                <w:color w:val="auto"/>
              </w:rPr>
              <w:t>Date: January 22, 2018</w:t>
            </w: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By:  /s/ David H. Wang</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David H. Wang</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2019-12-08T15:22:30Z</dcterms:created>
  <dcterms:modified xsi:type="dcterms:W3CDTF">2019-12-08T15:22:30Z</dcterms:modified>
</cp:coreProperties>
</file>