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15, 2023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820" w:space="720"/>
            <w:col w:w="3120"/>
          </w:cols>
          <w:pgMar w:left="320" w:top="535" w:right="339" w:bottom="1440" w:gutter="0" w:footer="0" w:header="0"/>
          <w:type w:val="continuous"/>
        </w:sectPr>
      </w:pPr>
    </w:p>
    <w:p>
      <w:pPr>
        <w:spacing w:after="0" w:line="3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80" w:type="dxa"/>
            <w:vAlign w:val="bottom"/>
            <w:gridSpan w:val="3"/>
          </w:tcPr>
          <w:p>
            <w:pPr>
              <w:ind w:left="1120"/>
              <w:spacing w:after="0"/>
              <w:rPr>
                <w:sz w:val="20"/>
                <w:szCs w:val="20"/>
                <w:color w:val="auto"/>
              </w:rPr>
            </w:pPr>
            <w:r>
              <w:rPr>
                <w:rFonts w:ascii="Arial" w:cs="Arial" w:eastAsia="Arial" w:hAnsi="Arial"/>
                <w:sz w:val="18"/>
                <w:szCs w:val="18"/>
                <w:b w:val="1"/>
                <w:bCs w:val="1"/>
                <w:color w:val="auto"/>
              </w:rPr>
              <w:t>Title of each class</w:t>
            </w:r>
          </w:p>
        </w:tc>
        <w:tc>
          <w:tcPr>
            <w:tcW w:w="284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Trading symbol</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Class A Common Stock, par value $0.0001 per</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8"/>
              </w:rPr>
              <w:t>ACMR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rPr>
              <w:t>share</w:t>
            </w:r>
          </w:p>
        </w:tc>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held our 2023 Annual Meeting of Stockholders on June 15, 2023. The board of directors solicited proxies pursuant to a proxy statement that we filed with the Securities and Exchange Commission under Section 14(a) of the Securities Exchange Act of 1934 on May 1, 2023, as amended by Amendment No.1 to the proxy statement filed on May 23, 2023. There was no solicitation in opposition to the board’s solicitation.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meeting, holders of Class A and Class B common stock were asked to consider and vote upon the two proposals set forth below. Each share of Class A common stock was entitled to one vote with respect to each matter submitted to a vote at the meeting, and each share of Class B common stock was entitled to twenty votes with respect to each matter submitted to a vote at the meeting. Shares of Class A and Class B common stock representing 131,401,313 votes, or 84.6% of the total votes attributable to all outstanding shares of Class A and Class B common stock, were present in person or by proxy at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reported below are final.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matters considered and voted on by the stockholders at the meeting and the votes of the stockholders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Proposal 1. Stockholders voted as follows with respect to the election of each of the nominees for director identified in the proxy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20" w:type="dxa"/>
            <w:vAlign w:val="bottom"/>
            <w:tcBorders>
              <w:bottom w:val="single" w:sz="8" w:color="auto"/>
            </w:tcBorders>
          </w:tcPr>
          <w:p>
            <w:pPr>
              <w:ind w:left="2920"/>
              <w:spacing w:after="0"/>
              <w:rPr>
                <w:sz w:val="20"/>
                <w:szCs w:val="20"/>
                <w:color w:val="auto"/>
              </w:rPr>
            </w:pPr>
            <w:r>
              <w:rPr>
                <w:rFonts w:ascii="Arial" w:cs="Arial" w:eastAsia="Arial" w:hAnsi="Arial"/>
                <w:sz w:val="18"/>
                <w:szCs w:val="18"/>
                <w:b w:val="1"/>
                <w:bCs w:val="1"/>
                <w:color w:val="auto"/>
              </w:rPr>
              <w:t>Nominee</w:t>
            </w:r>
          </w:p>
        </w:tc>
        <w:tc>
          <w:tcPr>
            <w:tcW w:w="2880" w:type="dxa"/>
            <w:vAlign w:val="bottom"/>
            <w:tcBorders>
              <w:bottom w:val="single" w:sz="8" w:color="auto"/>
            </w:tcBorders>
          </w:tcPr>
          <w:p>
            <w:pPr>
              <w:jc w:val="center"/>
              <w:ind w:left="1150"/>
              <w:spacing w:after="0"/>
              <w:rPr>
                <w:sz w:val="20"/>
                <w:szCs w:val="20"/>
                <w:color w:val="auto"/>
              </w:rPr>
            </w:pPr>
            <w:r>
              <w:rPr>
                <w:rFonts w:ascii="Arial" w:cs="Arial" w:eastAsia="Arial" w:hAnsi="Arial"/>
                <w:sz w:val="18"/>
                <w:szCs w:val="18"/>
                <w:b w:val="1"/>
                <w:bCs w:val="1"/>
                <w:color w:val="auto"/>
                <w:w w:val="96"/>
              </w:rPr>
              <w:t>For</w:t>
            </w: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Withhold</w:t>
            </w:r>
          </w:p>
        </w:tc>
        <w:tc>
          <w:tcPr>
            <w:tcW w:w="16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0"/>
              </w:rPr>
              <w:t>Broker Non-Votes</w:t>
            </w:r>
          </w:p>
        </w:tc>
        <w:tc>
          <w:tcPr>
            <w:tcW w:w="100" w:type="dxa"/>
            <w:vAlign w:val="bottom"/>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David H. Wang</w:t>
            </w:r>
          </w:p>
        </w:tc>
        <w:tc>
          <w:tcPr>
            <w:tcW w:w="288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87"/>
              </w:rPr>
              <w:t>117,716,118</w:t>
            </w:r>
          </w:p>
        </w:tc>
        <w:tc>
          <w:tcPr>
            <w:tcW w:w="1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5,697,958</w:t>
            </w:r>
          </w:p>
        </w:tc>
        <w:tc>
          <w:tcPr>
            <w:tcW w:w="166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9"/>
              </w:rPr>
              <w:t>7,987,237</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Haiping Dun</w:t>
            </w:r>
          </w:p>
        </w:tc>
        <w:tc>
          <w:tcPr>
            <w:tcW w:w="2880" w:type="dxa"/>
            <w:vAlign w:val="bottom"/>
          </w:tcPr>
          <w:p>
            <w:pPr>
              <w:jc w:val="center"/>
              <w:ind w:left="1170"/>
              <w:spacing w:after="0"/>
              <w:rPr>
                <w:sz w:val="20"/>
                <w:szCs w:val="20"/>
                <w:color w:val="auto"/>
              </w:rPr>
            </w:pPr>
            <w:r>
              <w:rPr>
                <w:rFonts w:ascii="Arial" w:cs="Arial" w:eastAsia="Arial" w:hAnsi="Arial"/>
                <w:sz w:val="18"/>
                <w:szCs w:val="18"/>
                <w:color w:val="auto"/>
                <w:w w:val="89"/>
              </w:rPr>
              <w:t>122,777,769</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89"/>
              </w:rPr>
              <w:t>636,307</w:t>
            </w:r>
          </w:p>
        </w:tc>
        <w:tc>
          <w:tcPr>
            <w:tcW w:w="1660" w:type="dxa"/>
            <w:vAlign w:val="bottom"/>
          </w:tcPr>
          <w:p>
            <w:pPr>
              <w:jc w:val="center"/>
              <w:ind w:left="170"/>
              <w:spacing w:after="0"/>
              <w:rPr>
                <w:sz w:val="20"/>
                <w:szCs w:val="20"/>
                <w:color w:val="auto"/>
              </w:rPr>
            </w:pPr>
            <w:r>
              <w:rPr>
                <w:rFonts w:ascii="Arial" w:cs="Arial" w:eastAsia="Arial" w:hAnsi="Arial"/>
                <w:sz w:val="18"/>
                <w:szCs w:val="18"/>
                <w:color w:val="auto"/>
                <w:w w:val="89"/>
              </w:rPr>
              <w:t>7,987,237</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Chenming C. Hu</w:t>
            </w:r>
          </w:p>
        </w:tc>
        <w:tc>
          <w:tcPr>
            <w:tcW w:w="288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87"/>
              </w:rPr>
              <w:t>116,232,176</w:t>
            </w:r>
          </w:p>
        </w:tc>
        <w:tc>
          <w:tcPr>
            <w:tcW w:w="1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7,181,900</w:t>
            </w:r>
          </w:p>
        </w:tc>
        <w:tc>
          <w:tcPr>
            <w:tcW w:w="166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9"/>
              </w:rPr>
              <w:t>7,987,237</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Tracy Liu</w:t>
            </w:r>
          </w:p>
        </w:tc>
        <w:tc>
          <w:tcPr>
            <w:tcW w:w="2880" w:type="dxa"/>
            <w:vAlign w:val="bottom"/>
          </w:tcPr>
          <w:p>
            <w:pPr>
              <w:jc w:val="center"/>
              <w:ind w:left="1150"/>
              <w:spacing w:after="0"/>
              <w:rPr>
                <w:sz w:val="20"/>
                <w:szCs w:val="20"/>
                <w:color w:val="auto"/>
              </w:rPr>
            </w:pPr>
            <w:r>
              <w:rPr>
                <w:rFonts w:ascii="Arial" w:cs="Arial" w:eastAsia="Arial" w:hAnsi="Arial"/>
                <w:sz w:val="18"/>
                <w:szCs w:val="18"/>
                <w:color w:val="auto"/>
                <w:w w:val="87"/>
              </w:rPr>
              <w:t>117,567,952</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87"/>
              </w:rPr>
              <w:t>5,846,124</w:t>
            </w:r>
          </w:p>
        </w:tc>
        <w:tc>
          <w:tcPr>
            <w:tcW w:w="1660" w:type="dxa"/>
            <w:vAlign w:val="bottom"/>
          </w:tcPr>
          <w:p>
            <w:pPr>
              <w:jc w:val="center"/>
              <w:ind w:left="170"/>
              <w:spacing w:after="0"/>
              <w:rPr>
                <w:sz w:val="20"/>
                <w:szCs w:val="20"/>
                <w:color w:val="auto"/>
              </w:rPr>
            </w:pPr>
            <w:r>
              <w:rPr>
                <w:rFonts w:ascii="Arial" w:cs="Arial" w:eastAsia="Arial" w:hAnsi="Arial"/>
                <w:sz w:val="18"/>
                <w:szCs w:val="18"/>
                <w:color w:val="auto"/>
                <w:w w:val="89"/>
              </w:rPr>
              <w:t>7,987,237</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Xiao Xing</w:t>
            </w:r>
          </w:p>
        </w:tc>
        <w:tc>
          <w:tcPr>
            <w:tcW w:w="288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9"/>
              </w:rPr>
              <w:t>123,076,893</w:t>
            </w:r>
          </w:p>
        </w:tc>
        <w:tc>
          <w:tcPr>
            <w:tcW w:w="1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337,183</w:t>
            </w:r>
          </w:p>
        </w:tc>
        <w:tc>
          <w:tcPr>
            <w:tcW w:w="166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9"/>
              </w:rPr>
              <w:t>7,987,237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this vote, each of the five nominees was elected as a director to serve until the 2024 Annual Meeting of Stockholders and until his or her successor is duly elected and qualified.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Proposal 2. Stockholders ratified the appointment of Armanino LLP as our independent auditor for the fiscal year ending December 31, 2023, by the following vote: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b w:val="1"/>
                <w:bCs w:val="1"/>
                <w:color w:val="auto"/>
                <w:w w:val="96"/>
              </w:rPr>
              <w:t>For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Abstain</w:t>
            </w:r>
          </w:p>
        </w:tc>
        <w:tc>
          <w:tcPr>
            <w:tcW w:w="100" w:type="dxa"/>
            <w:vAlign w:val="bottom"/>
          </w:tcPr>
          <w:p>
            <w:pPr>
              <w:spacing w:after="0"/>
              <w:rPr>
                <w:sz w:val="20"/>
                <w:szCs w:val="20"/>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Ratification of Appointment of Armanino LLP for 2023</w:t>
            </w:r>
          </w:p>
        </w:tc>
        <w:tc>
          <w:tcPr>
            <w:tcW w:w="2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131,332,212</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46,344</w:t>
            </w:r>
          </w:p>
        </w:tc>
        <w:tc>
          <w:tcPr>
            <w:tcW w:w="14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22,757</w:t>
            </w:r>
          </w:p>
        </w:tc>
        <w:tc>
          <w:tcPr>
            <w:tcW w:w="100" w:type="dxa"/>
            <w:vAlign w:val="bottom"/>
            <w:shd w:val="clear" w:color="auto" w:fill="CCEEFF"/>
          </w:tcPr>
          <w:p>
            <w:pPr>
              <w:spacing w:after="0"/>
              <w:rPr>
                <w:sz w:val="18"/>
                <w:szCs w:val="18"/>
                <w:color w:val="auto"/>
              </w:rPr>
            </w:pPr>
          </w:p>
        </w:tc>
      </w:tr>
      <w:tr>
        <w:trPr>
          <w:trHeight w:val="425"/>
        </w:trPr>
        <w:tc>
          <w:tcPr>
            <w:tcW w:w="54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2023-06-15T15:48:12Z</dcterms:created>
  <dcterms:modified xsi:type="dcterms:W3CDTF">2023-06-15T15:48:12Z</dcterms:modified>
</cp:coreProperties>
</file>