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384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384540"/>
                    </a:xfrm>
                    <a:prstGeom prst="rect">
                      <a:avLst/>
                    </a:prstGeom>
                    <a:noFill/>
                  </pic:spPr>
                </pic:pic>
              </a:graphicData>
            </a:graphic>
          </wp:anchor>
        </w:drawing>
      </w:r>
    </w:p>
    <w:p>
      <w:pPr>
        <w:spacing w:after="0" w:line="1204" w:lineRule="exact"/>
        <w:rPr>
          <w:sz w:val="24"/>
          <w:szCs w:val="24"/>
          <w:color w:val="auto"/>
        </w:rPr>
      </w:pPr>
    </w:p>
    <w:p>
      <w:pPr>
        <w:sectPr>
          <w:pgSz w:w="11900" w:h="16941" w:orient="portrait"/>
          <w:cols w:equalWidth="0" w:num="2">
            <w:col w:w="2300" w:space="320"/>
            <w:col w:w="8440"/>
          </w:cols>
          <w:pgMar w:left="460" w:top="216" w:right="37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Wang David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760"/>
        <w:spacing w:after="0" w:line="340"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ACM Research,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4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03" w:lineRule="exact"/>
        <w:rPr>
          <w:sz w:val="24"/>
          <w:szCs w:val="24"/>
          <w:color w:val="auto"/>
        </w:rPr>
      </w:pPr>
    </w:p>
    <w:p>
      <w:pPr>
        <w:sectPr>
          <w:pgSz w:w="11900" w:h="16941" w:orient="portrait"/>
          <w:cols w:equalWidth="0" w:num="3">
            <w:col w:w="3180" w:space="720"/>
            <w:col w:w="3115" w:space="720"/>
            <w:col w:w="3325"/>
          </w:cols>
          <w:pgMar w:left="460" w:top="216" w:right="37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94539</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941" w:orient="portrait"/>
          <w:cols w:equalWidth="0" w:num="2">
            <w:col w:w="3760" w:space="140"/>
            <w:col w:w="7160"/>
          </w:cols>
          <w:pgMar w:left="460" w:top="216" w:right="379" w:bottom="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45,837</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180,000</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620,001</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00" w:type="dxa"/>
            <w:vAlign w:val="bottom"/>
            <w:vMerge w:val="continue"/>
          </w:tcPr>
          <w:p>
            <w:pPr>
              <w:spacing w:after="0"/>
              <w:rPr>
                <w:sz w:val="6"/>
                <w:szCs w:val="6"/>
                <w:color w:val="auto"/>
              </w:rPr>
            </w:pPr>
          </w:p>
        </w:tc>
        <w:tc>
          <w:tcPr>
            <w:tcW w:w="78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7.36</w:t>
            </w:r>
          </w:p>
        </w:tc>
        <w:tc>
          <w:tcPr>
            <w:tcW w:w="156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10/27/2025</w:t>
            </w:r>
          </w:p>
        </w:tc>
        <w:tc>
          <w:tcPr>
            <w:tcW w:w="114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0000FF"/>
              </w:rPr>
              <w:t>545,400</w:t>
            </w:r>
          </w:p>
        </w:tc>
        <w:tc>
          <w:tcPr>
            <w:tcW w:w="72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rPr>
              <w:t>(1)(2)</w:t>
            </w:r>
          </w:p>
        </w:tc>
        <w:tc>
          <w:tcPr>
            <w:tcW w:w="2200" w:type="dxa"/>
            <w:vAlign w:val="bottom"/>
            <w:vMerge w:val="restart"/>
          </w:tcPr>
          <w:p>
            <w:pPr>
              <w:ind w:left="160"/>
              <w:spacing w:after="0" w:line="152" w:lineRule="exact"/>
              <w:rPr>
                <w:sz w:val="20"/>
                <w:szCs w:val="20"/>
                <w:color w:val="auto"/>
              </w:rPr>
            </w:pPr>
            <w:r>
              <w:rPr>
                <w:rFonts w:ascii="Times New Roman" w:cs="Times New Roman" w:eastAsia="Times New Roman" w:hAnsi="Times New Roman"/>
                <w:sz w:val="13"/>
                <w:szCs w:val="13"/>
                <w:color w:val="0000FF"/>
              </w:rPr>
              <w:t xml:space="preserve">03/19/2030  Common  </w:t>
            </w:r>
            <w:r>
              <w:rPr>
                <w:rFonts w:ascii="Times New Roman" w:cs="Times New Roman" w:eastAsia="Times New Roman" w:hAnsi="Times New Roman"/>
                <w:sz w:val="16"/>
                <w:szCs w:val="16"/>
                <w:color w:val="0000FF"/>
              </w:rPr>
              <w:t>545,400</w:t>
            </w:r>
          </w:p>
        </w:tc>
        <w:tc>
          <w:tcPr>
            <w:tcW w:w="56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0000FF"/>
              </w:rPr>
              <w:t>545,400</w:t>
            </w:r>
          </w:p>
        </w:tc>
        <w:tc>
          <w:tcPr>
            <w:tcW w:w="3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00FF"/>
                <w:w w:val="74"/>
              </w:rPr>
              <w:t>D</w:t>
            </w:r>
          </w:p>
        </w:tc>
        <w:tc>
          <w:tcPr>
            <w:tcW w:w="0" w:type="dxa"/>
            <w:vAlign w:val="bottom"/>
          </w:tcPr>
          <w:p>
            <w:pPr>
              <w:spacing w:after="0"/>
              <w:rPr>
                <w:sz w:val="1"/>
                <w:szCs w:val="1"/>
                <w:color w:val="auto"/>
              </w:rPr>
            </w:pPr>
          </w:p>
        </w:tc>
      </w:tr>
      <w:tr>
        <w:trPr>
          <w:trHeight w:val="76"/>
        </w:trPr>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2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90"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20, 2020, the reporting person was granted options to purchase an aggregate of 1,636,197 shares of the Issuer's Class A common stock, based on the satisfaction of certain performance criteria. In general, one-third of the shares subject to the options vest and become exercisable upon an increase in the Issuer's market capitalization (calculated as described in footnote 2) of $1 billion, $2 billion and $3 billion,</w:t>
      </w:r>
    </w:p>
    <w:p>
      <w:pPr>
        <w:sectPr>
          <w:pgSz w:w="11900" w:h="16941" w:orient="portrait"/>
          <w:cols w:equalWidth="0" w:num="1">
            <w:col w:w="11060"/>
          </w:cols>
          <w:pgMar w:left="460" w:top="216" w:right="379" w:bottom="0" w:gutter="0" w:footer="0" w:header="0"/>
          <w:type w:val="continuous"/>
        </w:sectPr>
      </w:pPr>
    </w:p>
    <w:bookmarkStart w:id="1" w:name="page2"/>
    <w:bookmarkEnd w:id="1"/>
    <w:p>
      <w:pPr>
        <w:spacing w:after="0" w:line="238" w:lineRule="auto"/>
        <w:rPr>
          <w:sz w:val="20"/>
          <w:szCs w:val="20"/>
          <w:color w:val="auto"/>
        </w:rPr>
      </w:pPr>
      <w:r>
        <w:rPr>
          <w:rFonts w:ascii="Times New Roman" w:cs="Times New Roman" w:eastAsia="Times New Roman" w:hAnsi="Times New Roman"/>
          <w:sz w:val="13"/>
          <w:szCs w:val="13"/>
          <w:color w:val="008000"/>
        </w:rPr>
        <w:t>respectively, from the market capitalization of $553,383,586 on the date of grant. 545,400 shares vested and became exercisable on October 27, 2025, which was the first trading day as of which the Issuer's market capitalization equaled or exceeded $2,553,383,586. The remaining shares will vest and become exercise upon the first trading days, if any, on which the Issuer's market capitalization equals or exceeds $3,553,383,586.</w:t>
      </w:r>
    </w:p>
    <w:p>
      <w:pPr>
        <w:spacing w:after="0" w:line="26" w:lineRule="exact"/>
        <w:rPr>
          <w:sz w:val="20"/>
          <w:szCs w:val="20"/>
          <w:color w:val="auto"/>
        </w:rPr>
      </w:pPr>
    </w:p>
    <w:p>
      <w:pPr>
        <w:ind w:right="140"/>
        <w:spacing w:after="0" w:line="23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the options, the market capitalization as of a specified trading day is calculated by multiplying (a) the average of the daily volume-weighted average price per share of the Issuer's Class A common stock for each of the trading days occurring during the thirty calendar day period ending on that specified trading day by (b) the total number of issued and outstanding shares of the Issuer's Class A and Class B common stock as of 11:59 p.m. (Eastern time) on such specified trading day.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ind w:left="6560"/>
        <w:spacing w:after="0" w:line="182"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-26670</wp:posOffset>
            </wp:positionV>
            <wp:extent cx="132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-21590</wp:posOffset>
            </wp:positionV>
            <wp:extent cx="1125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5855" cy="825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0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2025-10-29T20:37:02Z</dcterms:created>
  <dcterms:modified xsi:type="dcterms:W3CDTF">2025-10-29T20:37:02Z</dcterms:modified>
</cp:coreProperties>
</file>