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May 7, 2026, we issued a press release announcing financial results for the first quarter of 2026. The full text of the press release is furnished as Exhibit 99.1 hereto and is incorporated herein by reference</w:t>
      </w:r>
      <w:r>
        <w:rPr>
          <w:rFonts w:ascii="Times New Roman" w:cs="Times New Roman" w:eastAsia="Times New Roman" w:hAnsi="Times New Roman"/>
          <w:sz w:val="21"/>
          <w:szCs w:val="21"/>
          <w:i w:val="1"/>
          <w:iCs w:val="1"/>
          <w:color w:val="auto"/>
        </w:rPr>
        <w:t>.</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May 7, 2026</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465455</wp:posOffset>
            </wp:positionV>
            <wp:extent cx="72009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First Quarter 2026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FREMONT, Calif., May 07, 2026 (Globe Newswire) – ACM Research, Inc. (“ACM”) (NASDAQ: ACMR), a leading supplier of wafer processing solutions for semiconductor and advanced wafer-level packaging applications, today reported financial results for its first quarter ended March 31, 2026.</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off to a solid start in 2026, with revenue of $231 million, up 34% year-over-year, and shipments of $241 million, up 54% year-over-year. Growth in the quarter was driven by strong performance in ECP and advanced packaging applications, reflecting increasing customer adoption of our differentiated technologies in high performance applications,” said Dr. David Wang, President and Chief Executive Officer of ACM. “This quarter, at Semicon China, we announced the ACM Planetary Family, a unified portfolio that reflects ACM’s status as a global, multi-product company, serving a broad range of semiconductor manufacturing steps.”</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Dr. Wang continued, “We expect 2026 to be a big year for new products at ACM. Our R&amp;D over the past 5 years, together with our internal Lingang mini-line, is paying off with industry-leading offerings across several product categories enabling our global customers to solve their evolving production challenges. We expect incremental revenue contribution from Tahoe, single-wafer SPM and vertical furnace, and increased evaluations in our panel-level horizontal plating, low-pressure panel-level flux cleaning, track, and PECVD platforms. We are also taking additional steps to expand our capabilities in global markets, including the proposed Hong Kong listing of ACM Research (Shanghai), Inc., ACM’s principal operating subsidiary (“ACM Shanghai”) and the ramp-up of our Oregon facility later this year.”</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maintaining our 2026 revenue outlook for 21%-30% growth, supported by new product cycles, market share gains, and increasing engagement from global customers.” Dr. Wang concluded, “Our business has momentum, our strategy is working, and we remain firmly committed to delivering world-class innovative solutions to meet current and future requirements across a broad and expanding global customer base.”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000" w:type="dxa"/>
            <w:vAlign w:val="bottom"/>
            <w:tcBorders>
              <w:bottom w:val="single" w:sz="8" w:color="auto"/>
            </w:tcBorders>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4"/>
          </w:tcPr>
          <w:p>
            <w:pPr>
              <w:jc w:val="right"/>
              <w:ind w:right="317"/>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231,263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172,347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231,263</w:t>
            </w:r>
          </w:p>
        </w:tc>
        <w:tc>
          <w:tcPr>
            <w:tcW w:w="6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172,347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36,177</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25,777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41,798</w:t>
            </w:r>
          </w:p>
        </w:tc>
        <w:tc>
          <w:tcPr>
            <w:tcW w:w="6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35,594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auto"/>
              </w:rPr>
              <w:t>17,307</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20,380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auto"/>
              </w:rPr>
              <w:t>24,334</w:t>
            </w:r>
          </w:p>
        </w:tc>
        <w:tc>
          <w:tcPr>
            <w:tcW w:w="6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31,279</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0.26</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0.37</w:t>
            </w:r>
          </w:p>
        </w:tc>
        <w:tc>
          <w:tcPr>
            <w:tcW w:w="6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0.49</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auto"/>
              </w:rPr>
              <w:t>0.24</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auto"/>
              </w:rPr>
              <w:t>0.34</w:t>
            </w:r>
          </w:p>
        </w:tc>
        <w:tc>
          <w:tcPr>
            <w:tcW w:w="6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0.46</w:t>
            </w:r>
          </w:p>
        </w:tc>
      </w:tr>
    </w:tbl>
    <w:p>
      <w:pPr>
        <w:spacing w:after="0" w:line="269" w:lineRule="exact"/>
        <w:rPr>
          <w:sz w:val="20"/>
          <w:szCs w:val="20"/>
          <w:color w:val="auto"/>
        </w:rPr>
      </w:pPr>
    </w:p>
    <w:p>
      <w:pPr>
        <w:ind w:left="340" w:right="20" w:hanging="332"/>
        <w:spacing w:after="0" w:line="28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ACM is maintaining its revenue guidance range of $1.08 billion to $1.175 billion for fiscal year 2026.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jc w:val="both"/>
        <w:ind w:left="340" w:hanging="332"/>
        <w:spacing w:after="0" w:line="26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first quarter of 2026 were $240.7 million, versus $156.7 million in the first quarter of 2025, up 53.6%.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shipments include deliveries of repeat tools and deliveries of first tools awaiting customer acceptance for potential revenue recognition in future quarters.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Shipped First PECVD SiCN System. </w:t>
      </w:r>
      <w:r>
        <w:rPr>
          <w:rFonts w:ascii="Times New Roman" w:cs="Times New Roman" w:eastAsia="Times New Roman" w:hAnsi="Times New Roman"/>
          <w:sz w:val="18"/>
          <w:szCs w:val="18"/>
          <w:color w:val="auto"/>
        </w:rPr>
        <w:t>ACM announced that it has shipped its first plasma-enhanced chemical vapor deposition (PECVD) silicon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carbonitride (SiCN) system to a leading semiconductor manufacturer. As part of the Saturn Series within the ACM Planetary Family, the system met customer-defined process specifications in ACM’s Lingang lab and has been delivered to the customer site for final validation. Targeting advanced back-end-of-line (BEOL) requirements, the system further expands ACM’s capabilities in advanced packaging applications.</w:t>
      </w:r>
    </w:p>
    <w:p>
      <w:pPr>
        <w:spacing w:after="0" w:line="199" w:lineRule="exact"/>
        <w:rPr>
          <w:rFonts w:ascii="Arial" w:cs="Arial" w:eastAsia="Arial" w:hAnsi="Arial"/>
          <w:sz w:val="18"/>
          <w:szCs w:val="18"/>
          <w:color w:val="auto"/>
        </w:rPr>
      </w:pPr>
    </w:p>
    <w:p>
      <w:pPr>
        <w:jc w:val="both"/>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 of Advanced Packaging Equipment to Leading Global Customers. </w:t>
      </w:r>
      <w:r>
        <w:rPr>
          <w:rFonts w:ascii="Times New Roman" w:cs="Times New Roman" w:eastAsia="Times New Roman" w:hAnsi="Times New Roman"/>
          <w:sz w:val="18"/>
          <w:szCs w:val="18"/>
          <w:color w:val="auto"/>
        </w:rPr>
        <w:t>ACM completed, on schedule, shipments of its Ultra C vac-p panel-level advanced packaging vacuum cleaning system to a leading global semiconductor packaging manufacturer outside mainland China, and of its wafer-level advanced packaging systems to a leading OSAT customer in Singapore.</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32" w:lineRule="exact"/>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Introduced ACM Planetary Family™ Product Portfolio Structure. </w:t>
      </w:r>
      <w:r>
        <w:rPr>
          <w:rFonts w:ascii="Times New Roman" w:cs="Times New Roman" w:eastAsia="Times New Roman" w:hAnsi="Times New Roman"/>
          <w:sz w:val="18"/>
          <w:szCs w:val="18"/>
          <w:color w:val="auto"/>
        </w:rPr>
        <w:t>ACM launched a unified, process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portfolio structure, the ACM Planetary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organizing its products into eight distinct families aligned with key semiconductor manufacturing steps, collectively referred to as the Eight Planets series.</w:t>
      </w:r>
    </w:p>
    <w:p>
      <w:pPr>
        <w:spacing w:after="0" w:line="207" w:lineRule="exact"/>
        <w:rPr>
          <w:rFonts w:ascii="Times New Roman" w:cs="Times New Roman" w:eastAsia="Times New Roman" w:hAnsi="Times New Roman"/>
          <w:sz w:val="18"/>
          <w:szCs w:val="18"/>
          <w:b w:val="1"/>
          <w:bCs w:val="1"/>
          <w:color w:val="auto"/>
        </w:rPr>
      </w:pPr>
    </w:p>
    <w:p>
      <w:pPr>
        <w:jc w:val="both"/>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 of Shares of ACM Shanghai. </w:t>
      </w:r>
      <w:r>
        <w:rPr>
          <w:rFonts w:ascii="Times New Roman" w:cs="Times New Roman" w:eastAsia="Times New Roman" w:hAnsi="Times New Roman"/>
          <w:sz w:val="18"/>
          <w:szCs w:val="18"/>
          <w:color w:val="auto"/>
        </w:rPr>
        <w:t>On February 6, 2026, ACM completed the sale of approximately 4.8 million shares of ACM Shanghai, at a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RMB160.00 per share (approximately $23.05 per share based on the exchange rate in effect on the date of the sale), generating approximately $110 million in gross proceeds and approximately $86 million net of taxes.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ACM Shanghai Proposed H share listing in Hong Kong. </w:t>
      </w:r>
      <w:r>
        <w:rPr>
          <w:rFonts w:ascii="Times New Roman" w:cs="Times New Roman" w:eastAsia="Times New Roman" w:hAnsi="Times New Roman"/>
          <w:sz w:val="18"/>
          <w:szCs w:val="18"/>
          <w:color w:val="auto"/>
        </w:rPr>
        <w:t>On April 17, 2026, ACM Shanghai, announced a proposed issuance of overseas listed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an application for a secondary listing on the Hong Kong Stock Exchange. The initiative is intended to strengthen ACM Shanghai’s capital base, enhance competitiveness, attract and retain talent, and further expand its international market presence.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first quarter of 2026 and comparisons are with the first quarter of 2025.</w:t>
      </w:r>
    </w:p>
    <w:p>
      <w:pPr>
        <w:spacing w:after="0" w:line="223" w:lineRule="exact"/>
        <w:rPr>
          <w:sz w:val="20"/>
          <w:szCs w:val="20"/>
          <w:color w:val="auto"/>
        </w:rPr>
      </w:pPr>
    </w:p>
    <w:p>
      <w:pPr>
        <w:ind w:left="340" w:hanging="332"/>
        <w:spacing w:after="0" w:line="28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$231.3 million, up 34.2%, reflecting growth from ECP (front-end and packaging), furnace and other technologies, and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(excluding ECP), services &amp; spares.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46.4% versus 47.9%. Non-GAAP gross margin, which excludes stock-based compensation, was 46.5% versus 48.2%.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above the mid-point of ACM’s long-term business model target range of 42% to 48%. ACM expects gross margin to vary from period to period due to a variety of factors, such as product mix, currency impacts and sales volume.</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$71.1 million, an increase of 25.2%. Operating expenses as a percentage of revenue decreased to 30.7% from 32.9%. Non-GAAP operating expenses, which exclude the effect of stock-based compensation, were $65.8 million, up 38.5%. Non-GAAP operating expenses as a percentage of revenue increased to 28.4% from 27.6%.</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$36.2 million, up 40.3% compared to $25.8 million. Operating margin was 15.6% compared to 15.0%. Non-GAAP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which excludes the effect of stock-based compensation, was $41.8 million, up 17.4% compared to $35.6 million. Non-GAAP operating margin, which excludes stock-based compensation, was 18.1% compared to 20.7%.</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short-term investments </w:t>
      </w:r>
      <w:r>
        <w:rPr>
          <w:rFonts w:ascii="Times New Roman" w:cs="Times New Roman" w:eastAsia="Times New Roman" w:hAnsi="Times New Roman"/>
          <w:sz w:val="18"/>
          <w:szCs w:val="18"/>
          <w:color w:val="auto"/>
        </w:rPr>
        <w:t>was $1.4 million, compared to an unrealized loss of $1.1 million. Unrealized loss reflects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the investments by ACM Shanghai. The value is marked-to-market quarterly and is excluded in the non-GAAP financial metrics.</w:t>
      </w:r>
    </w:p>
    <w:p>
      <w:pPr>
        <w:spacing w:after="0" w:line="1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$3.8 million, compared to $2.2 million.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6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$17.3 million, compared to $20.4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loss on short-term investments, was $24.3 million, compared to $31.3 million.</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$0.24, compared to $0.30.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short-term investments, was $0.34, compared to $0.46.</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plus restricted cash and short-term time deposits </w:t>
      </w:r>
      <w:r>
        <w:rPr>
          <w:rFonts w:ascii="Times New Roman" w:cs="Times New Roman" w:eastAsia="Times New Roman" w:hAnsi="Times New Roman"/>
          <w:sz w:val="18"/>
          <w:szCs w:val="18"/>
          <w:color w:val="auto"/>
        </w:rPr>
        <w:t>were $1.25 billion at March 31, 2026, compared to $1.13 billion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Net cash, which excludes short-term and long-term borrowings, was $924.2 million at March 31, 2026, versus $844.5 million at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May 7, 2026,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color w:val="0094FF"/>
        </w:rPr>
        <w:t>https://register-conf.media-server.com/register/BI67a35ea588fa4ef486e4e5460faf9982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ir.acmr.com/news-events/events.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will be available on the Investors section of the ACM website at www.acmr.com</w:t>
      </w:r>
      <w:r>
        <w:rPr>
          <w:rFonts w:ascii="Times New Roman" w:cs="Times New Roman" w:eastAsia="Times New Roman" w:hAnsi="Times New Roman"/>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www.acmr.com.</w:t>
      </w:r>
    </w:p>
    <w:p>
      <w:pPr>
        <w:spacing w:after="0" w:line="166" w:lineRule="exact"/>
        <w:rPr>
          <w:sz w:val="20"/>
          <w:szCs w:val="20"/>
          <w:color w:val="auto"/>
        </w:rPr>
      </w:pPr>
    </w:p>
    <w:p>
      <w:pPr>
        <w:jc w:val="both"/>
        <w:ind w:firstLine="8"/>
        <w:spacing w:after="0" w:line="250" w:lineRule="auto"/>
        <w:tabs>
          <w:tab w:leader="none" w:pos="2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ACM Planetary Family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83" w:lineRule="exact"/>
        <w:rPr>
          <w:sz w:val="20"/>
          <w:szCs w:val="20"/>
          <w:color w:val="auto"/>
        </w:rPr>
      </w:pPr>
    </w:p>
    <w:p>
      <w:pPr>
        <w:ind w:left="360"/>
        <w:spacing w:after="0"/>
        <w:tabs>
          <w:tab w:leader="none" w:pos="3620" w:val="left"/>
        </w:tabs>
        <w:rPr>
          <w:sz w:val="20"/>
          <w:szCs w:val="20"/>
          <w:color w:val="auto"/>
        </w:rPr>
      </w:pPr>
      <w:r>
        <w:rPr>
          <w:rFonts w:ascii="Times New Roman" w:cs="Times New Roman" w:eastAsia="Times New Roman" w:hAnsi="Times New Roman"/>
          <w:sz w:val="18"/>
          <w:szCs w:val="18"/>
          <w:u w:val="single" w:color="auto"/>
          <w:color w:val="auto"/>
        </w:rPr>
        <w:t>In the United States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Blueshirt Group</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50" w:lineRule="exact"/>
        <w:rPr>
          <w:sz w:val="20"/>
          <w:szCs w:val="20"/>
          <w:color w:val="auto"/>
        </w:rPr>
      </w:pPr>
    </w:p>
    <w:p>
      <w:pPr>
        <w:ind w:left="3640" w:right="5700" w:firstLine="4"/>
        <w:spacing w:after="0" w:line="362" w:lineRule="auto"/>
        <w:tabs>
          <w:tab w:leader="none" w:pos="40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808-5154 </w:t>
      </w:r>
      <w:r>
        <w:rPr>
          <w:rFonts w:ascii="Times New Roman" w:cs="Times New Roman" w:eastAsia="Times New Roman" w:hAnsi="Times New Roman"/>
          <w:sz w:val="17"/>
          <w:szCs w:val="17"/>
          <w:i w:val="1"/>
          <w:iCs w:val="1"/>
          <w:color w:val="auto"/>
        </w:rPr>
        <w:t>steven@blueshirtgroup.co</w:t>
      </w:r>
    </w:p>
    <w:p>
      <w:pPr>
        <w:spacing w:after="0" w:line="193" w:lineRule="exact"/>
        <w:rPr>
          <w:sz w:val="20"/>
          <w:szCs w:val="20"/>
          <w:color w:val="auto"/>
        </w:rPr>
      </w:pPr>
    </w:p>
    <w:p>
      <w:pPr>
        <w:ind w:left="360"/>
        <w:spacing w:after="0"/>
        <w:tabs>
          <w:tab w:leader="none" w:pos="3620" w:val="left"/>
        </w:tabs>
        <w:rPr>
          <w:sz w:val="20"/>
          <w:szCs w:val="20"/>
          <w:color w:val="auto"/>
        </w:rPr>
      </w:pPr>
      <w:r>
        <w:rPr>
          <w:rFonts w:ascii="Times New Roman" w:cs="Times New Roman" w:eastAsia="Times New Roman" w:hAnsi="Times New Roman"/>
          <w:sz w:val="18"/>
          <w:szCs w:val="18"/>
          <w:u w:val="single" w:color="auto"/>
          <w:color w:val="auto"/>
        </w:rPr>
        <w:t>In China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Blueshirt Group Asia</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Gary Dvorchak, CFA</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+86 (138) 1079-1480</w:t>
      </w:r>
    </w:p>
    <w:p>
      <w:pPr>
        <w:spacing w:after="0" w:line="4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i w:val="1"/>
          <w:iCs w:val="1"/>
          <w:color w:val="auto"/>
        </w:rPr>
        <w:t>gary@blueshirtgroup.co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1004"/>
        </w:trPr>
        <w:tc>
          <w:tcPr>
            <w:tcW w:w="3060" w:type="dxa"/>
            <w:vAlign w:val="bottom"/>
          </w:tcPr>
          <w:p>
            <w:pPr>
              <w:spacing w:after="0"/>
              <w:rPr>
                <w:sz w:val="24"/>
                <w:szCs w:val="24"/>
                <w:color w:val="auto"/>
              </w:rPr>
            </w:pPr>
          </w:p>
        </w:tc>
        <w:tc>
          <w:tcPr>
            <w:tcW w:w="4920" w:type="dxa"/>
            <w:vAlign w:val="bottom"/>
            <w:gridSpan w:val="2"/>
          </w:tcPr>
          <w:p>
            <w:pPr>
              <w:jc w:val="center"/>
              <w:ind w:left="143"/>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4920" w:type="dxa"/>
            <w:vAlign w:val="bottom"/>
            <w:gridSpan w:val="2"/>
          </w:tcPr>
          <w:p>
            <w:pPr>
              <w:jc w:val="center"/>
              <w:ind w:left="143"/>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3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26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4920" w:type="dxa"/>
            <w:vAlign w:val="bottom"/>
            <w:gridSpan w:val="2"/>
          </w:tcPr>
          <w:p>
            <w:pPr>
              <w:jc w:val="center"/>
              <w:ind w:right="32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872,269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757,373</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time deposits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366,591</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35,524</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504,250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48,655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702,631</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to related parties</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2,619,353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2,436,680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314,830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4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3,065,898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2,872,185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jc w:val="center"/>
              <w:ind w:right="2983"/>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6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4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borrowings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35,082</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parties accounts payable</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215,440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from customers</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187,809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FIN-48 payable</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27,719</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payables and accrued expenses</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4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0" w:type="dxa"/>
            <w:vAlign w:val="bottom"/>
          </w:tcPr>
          <w:p>
            <w:pPr>
              <w:spacing w:after="0"/>
              <w:rPr>
                <w:sz w:val="1"/>
                <w:szCs w:val="1"/>
                <w:color w:val="auto"/>
              </w:rPr>
            </w:pPr>
          </w:p>
        </w:tc>
      </w:tr>
      <w:tr>
        <w:trPr>
          <w:trHeight w:val="190"/>
        </w:trPr>
        <w:tc>
          <w:tcPr>
            <w:tcW w:w="3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745,678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745,712</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178,930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0" w:type="dxa"/>
            <w:vAlign w:val="bottom"/>
          </w:tcPr>
          <w:p>
            <w:pPr>
              <w:spacing w:after="0"/>
              <w:rPr>
                <w:sz w:val="1"/>
                <w:szCs w:val="1"/>
                <w:color w:val="auto"/>
              </w:rPr>
            </w:pPr>
          </w:p>
        </w:tc>
      </w:tr>
      <w:tr>
        <w:trPr>
          <w:trHeight w:val="190"/>
        </w:trPr>
        <w:tc>
          <w:tcPr>
            <w:tcW w:w="3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982,426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941,676</w:t>
            </w: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4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1,194,786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1,115,504</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350,428</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Statutory surplus reserve</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34,164</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ACM Research, Inc. stockholders’ equity</w:t>
            </w: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1,581,510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1,464,363</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6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466,146</w:t>
            </w:r>
          </w:p>
        </w:tc>
        <w:tc>
          <w:tcPr>
            <w:tcW w:w="0" w:type="dxa"/>
            <w:vAlign w:val="bottom"/>
          </w:tcPr>
          <w:p>
            <w:pPr>
              <w:spacing w:after="0"/>
              <w:rPr>
                <w:sz w:val="1"/>
                <w:szCs w:val="1"/>
                <w:color w:val="auto"/>
              </w:rPr>
            </w:pPr>
          </w:p>
        </w:tc>
      </w:tr>
      <w:tr>
        <w:trPr>
          <w:trHeight w:val="19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2,083,472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1,930,509</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4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3,065,898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2,872,185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jc w:val="center"/>
              <w:ind w:left="363"/>
              <w:spacing w:after="0"/>
              <w:rPr>
                <w:sz w:val="20"/>
                <w:szCs w:val="20"/>
                <w:color w:val="auto"/>
              </w:rPr>
            </w:pPr>
            <w:r>
              <w:rPr>
                <w:rFonts w:ascii="Times New Roman" w:cs="Times New Roman" w:eastAsia="Times New Roman" w:hAnsi="Times New Roman"/>
                <w:sz w:val="14"/>
                <w:szCs w:val="14"/>
                <w:color w:val="auto"/>
              </w:rPr>
              <w:t>- 5 -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0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left="86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data)</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231,263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172,347</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89,797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107,238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82,550</w:t>
            </w: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0" w:type="dxa"/>
            <w:vAlign w:val="bottom"/>
          </w:tcPr>
          <w:p>
            <w:pPr>
              <w:spacing w:after="0"/>
              <w:rPr>
                <w:sz w:val="1"/>
                <w:szCs w:val="1"/>
                <w:color w:val="auto"/>
              </w:rPr>
            </w:pPr>
          </w:p>
        </w:tc>
      </w:tr>
      <w:tr>
        <w:trPr>
          <w:trHeight w:val="195"/>
        </w:trPr>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27,503</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12,927</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71,061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56,773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27,166</w:t>
            </w: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25,013</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25,013</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Foreign currency translation adjustment, net of tax of nil</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27,797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26,763</w:t>
            </w: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ACM Research, Inc. per common share:</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per share amounts: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65,804,254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63,267,834</w:t>
            </w:r>
          </w:p>
        </w:tc>
        <w:tc>
          <w:tcPr>
            <w:tcW w:w="0" w:type="dxa"/>
            <w:vAlign w:val="bottom"/>
          </w:tcPr>
          <w:p>
            <w:pPr>
              <w:spacing w:after="0"/>
              <w:rPr>
                <w:sz w:val="1"/>
                <w:szCs w:val="1"/>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69,769,907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66,952,774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940"/>
              <w:spacing w:after="0"/>
              <w:rPr>
                <w:sz w:val="20"/>
                <w:szCs w:val="20"/>
                <w:color w:val="auto"/>
              </w:rPr>
            </w:pPr>
            <w:r>
              <w:rPr>
                <w:rFonts w:ascii="Times New Roman" w:cs="Times New Roman" w:eastAsia="Times New Roman" w:hAnsi="Times New Roman"/>
                <w:sz w:val="14"/>
                <w:szCs w:val="14"/>
                <w:color w:val="auto"/>
              </w:rPr>
              <w:t>- 6 -</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1440" w:top="117" w:right="339" w:bottom="1440" w:gutter="0" w:footer="0" w:header="0"/>
        </w:sectPr>
      </w:pPr>
    </w:p>
    <w:bookmarkStart w:id="9" w:name="page10"/>
    <w:bookmarkEnd w:id="9"/>
    <w:p>
      <w:pPr>
        <w:ind w:left="10300"/>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Single wafer cleaning, Tahoe and semi-critical cleaning equipment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ECP (front-end and packaging), furnace and other technologies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Advanced packaging (excluding ECP), services &amp; spares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7"/>
          <w:szCs w:val="17"/>
          <w:b w:val="1"/>
          <w:bCs w:val="1"/>
          <w:color w:val="auto"/>
        </w:rPr>
        <w:t>Total Revenue by Product Category</w:t>
      </w: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33655</wp:posOffset>
            </wp:positionV>
            <wp:extent cx="1808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62"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20" w:type="dxa"/>
            <w:vAlign w:val="bottom"/>
          </w:tcPr>
          <w:p>
            <w:pPr>
              <w:spacing w:after="0"/>
              <w:rPr>
                <w:sz w:val="15"/>
                <w:szCs w:val="15"/>
                <w:color w:val="auto"/>
              </w:rPr>
            </w:pPr>
          </w:p>
        </w:tc>
        <w:tc>
          <w:tcPr>
            <w:tcW w:w="16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920" w:type="dxa"/>
            <w:vAlign w:val="bottom"/>
          </w:tcPr>
          <w:p>
            <w:pPr>
              <w:spacing w:after="0"/>
              <w:rPr>
                <w:sz w:val="15"/>
                <w:szCs w:val="15"/>
                <w:color w:val="auto"/>
              </w:rPr>
            </w:pPr>
          </w:p>
        </w:tc>
      </w:tr>
      <w:tr>
        <w:trPr>
          <w:trHeight w:val="191"/>
        </w:trPr>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thousand)</w:t>
            </w:r>
          </w:p>
        </w:tc>
        <w:tc>
          <w:tcPr>
            <w:tcW w:w="920" w:type="dxa"/>
            <w:vAlign w:val="bottom"/>
          </w:tcPr>
          <w:p>
            <w:pPr>
              <w:spacing w:after="0"/>
              <w:rPr>
                <w:sz w:val="16"/>
                <w:szCs w:val="16"/>
                <w:color w:val="auto"/>
              </w:rPr>
            </w:pPr>
          </w:p>
        </w:tc>
      </w:tr>
      <w:tr>
        <w:trPr>
          <w:trHeight w:val="203"/>
        </w:trPr>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122,482</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129,569</w:t>
            </w:r>
          </w:p>
        </w:tc>
      </w:tr>
      <w:tr>
        <w:trPr>
          <w:trHeight w:val="203"/>
        </w:trPr>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84,239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27,630</w:t>
            </w:r>
          </w:p>
        </w:tc>
      </w:tr>
      <w:tr>
        <w:trPr>
          <w:trHeight w:val="203"/>
        </w:trPr>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15,148</w:t>
            </w:r>
          </w:p>
        </w:tc>
      </w:tr>
      <w:tr>
        <w:trPr>
          <w:trHeight w:val="2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231,263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172,347</w:t>
            </w:r>
          </w:p>
        </w:tc>
      </w:tr>
      <w:tr>
        <w:trPr>
          <w:trHeight w:val="27"/>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-556895</wp:posOffset>
            </wp:positionV>
            <wp:extent cx="531495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-299720</wp:posOffset>
            </wp:positionV>
            <wp:extent cx="53149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95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380"/>
            <w:col w:w="700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11220"/>
          </w:cols>
          <w:pgMar w:left="340" w:top="117" w:right="339" w:bottom="1440" w:gutter="0" w:footer="0" w:header="0"/>
          <w:type w:val="continuous"/>
        </w:sectPr>
      </w:pPr>
    </w:p>
    <w:bookmarkStart w:id="10" w:name="page11"/>
    <w:bookmarkEnd w:id="10"/>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Pr>
          <w:p>
            <w:pPr>
              <w:spacing w:after="0"/>
              <w:rPr>
                <w:sz w:val="15"/>
                <w:szCs w:val="15"/>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SBC</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20" w:type="dxa"/>
            <w:vAlign w:val="bottom"/>
          </w:tcPr>
          <w:p>
            <w:pPr>
              <w:spacing w:after="0"/>
              <w:rPr>
                <w:sz w:val="15"/>
                <w:szCs w:val="15"/>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00" w:type="dxa"/>
            <w:vAlign w:val="bottom"/>
          </w:tcPr>
          <w:p>
            <w:pPr>
              <w:spacing w:after="0"/>
              <w:rPr>
                <w:sz w:val="15"/>
                <w:szCs w:val="15"/>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Pr>
          <w:p>
            <w:pPr>
              <w:spacing w:after="0"/>
              <w:rPr>
                <w:sz w:val="15"/>
                <w:szCs w:val="15"/>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SBC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00" w:type="dxa"/>
            <w:vAlign w:val="bottom"/>
          </w:tcPr>
          <w:p>
            <w:pPr>
              <w:spacing w:after="0"/>
              <w:rPr>
                <w:sz w:val="15"/>
                <w:szCs w:val="15"/>
                <w:color w:val="auto"/>
              </w:rPr>
            </w:pPr>
          </w:p>
        </w:tc>
        <w:tc>
          <w:tcPr>
            <w:tcW w:w="9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200" w:type="dxa"/>
            <w:vAlign w:val="bottom"/>
          </w:tcPr>
          <w:p>
            <w:pPr>
              <w:spacing w:after="0"/>
              <w:rPr>
                <w:sz w:val="8"/>
                <w:szCs w:val="8"/>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96"/>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6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231,263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231,263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172,347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172,347</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(124,025)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(123,677)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(89,797)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(89,268)</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107,238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107,586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82,550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83,079</w:t>
            </w:r>
          </w:p>
        </w:tc>
        <w:tc>
          <w:tcPr>
            <w:tcW w:w="0" w:type="dxa"/>
            <w:vAlign w:val="bottom"/>
          </w:tcPr>
          <w:p>
            <w:pPr>
              <w:spacing w:after="0"/>
              <w:rPr>
                <w:sz w:val="1"/>
                <w:szCs w:val="1"/>
                <w:color w:val="auto"/>
              </w:rPr>
            </w:pPr>
          </w:p>
        </w:tc>
      </w:tr>
      <w:tr>
        <w:trPr>
          <w:trHeight w:val="189"/>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(20,688)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(16,343)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(14,186)</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(36,549)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(27,503)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(24,728)</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(13,824)</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(11,885)</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(12,927)</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(8,571)</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(71,061)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(65,788)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(56,773)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(47,485)</w:t>
            </w:r>
          </w:p>
        </w:tc>
        <w:tc>
          <w:tcPr>
            <w:tcW w:w="0" w:type="dxa"/>
            <w:vAlign w:val="bottom"/>
          </w:tcPr>
          <w:p>
            <w:pPr>
              <w:spacing w:after="0"/>
              <w:rPr>
                <w:sz w:val="1"/>
                <w:szCs w:val="1"/>
                <w:color w:val="auto"/>
              </w:rPr>
            </w:pPr>
          </w:p>
        </w:tc>
      </w:tr>
      <w:tr>
        <w:trPr>
          <w:trHeight w:val="190"/>
        </w:trPr>
        <w:tc>
          <w:tcPr>
            <w:tcW w:w="2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36,177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41,798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25,777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35,594</w:t>
            </w: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Unrealized loss on short-term</w:t>
            </w: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2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income (loss) attributable to</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17,307</w:t>
            </w:r>
          </w:p>
        </w:tc>
        <w:tc>
          <w:tcPr>
            <w:tcW w:w="8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(5,621)</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(1,406)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24,334</w:t>
            </w:r>
          </w:p>
        </w:tc>
        <w:tc>
          <w:tcPr>
            <w:tcW w:w="8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20,380</w:t>
            </w:r>
          </w:p>
        </w:tc>
        <w:tc>
          <w:tcPr>
            <w:tcW w:w="8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(9,817)</w:t>
            </w:r>
          </w:p>
        </w:tc>
        <w:tc>
          <w:tcPr>
            <w:tcW w:w="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(1,082)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31,279</w:t>
            </w:r>
          </w:p>
        </w:tc>
        <w:tc>
          <w:tcPr>
            <w:tcW w:w="0" w:type="dxa"/>
            <w:vAlign w:val="bottom"/>
          </w:tcPr>
          <w:p>
            <w:pPr>
              <w:spacing w:after="0"/>
              <w:rPr>
                <w:sz w:val="1"/>
                <w:szCs w:val="1"/>
                <w:color w:val="auto"/>
              </w:rPr>
            </w:pPr>
          </w:p>
        </w:tc>
      </w:tr>
      <w:tr>
        <w:trPr>
          <w:trHeight w:val="173"/>
        </w:trPr>
        <w:tc>
          <w:tcPr>
            <w:tcW w:w="2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ACM Research, Inc.</w:t>
            </w: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EPS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188"/>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EPS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3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2026-05-07T06:28:50Z</dcterms:created>
  <dcterms:modified xsi:type="dcterms:W3CDTF">2026-05-07T06:28:50Z</dcterms:modified>
</cp:coreProperties>
</file>