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Jian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32,486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 and President of ACM Research (Shanghai), Inc., a subsidiary of the Issuer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07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40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6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2020-12-31T16:31:20Z</dcterms:created>
  <dcterms:modified xsi:type="dcterms:W3CDTF">2020-12-31T16:31:20Z</dcterms:modified>
</cp:coreProperties>
</file>