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18, 2024</w:t>
      </w:r>
    </w:p>
    <w:p>
      <w:pPr>
        <w:spacing w:after="0" w:line="36" w:lineRule="exact"/>
        <w:rPr>
          <w:sz w:val="24"/>
          <w:szCs w:val="24"/>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97155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9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1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9"/>
          <w:szCs w:val="29"/>
          <w:b w:val="1"/>
          <w:bCs w:val="1"/>
          <w:color w:val="auto"/>
        </w:rPr>
        <w:t>FORM S-3</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REGISTRATION STATEMENT UNDER THE SECURITIES ACT OF 1933</w:t>
      </w:r>
    </w:p>
    <w:p>
      <w:pPr>
        <w:spacing w:after="0" w:line="119"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32"/>
          <w:szCs w:val="32"/>
          <w:b w:val="1"/>
          <w:bCs w:val="1"/>
          <w:color w:val="auto"/>
        </w:rPr>
        <w:t>ACM RESEARCH,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9720"/>
          </w:cols>
          <w:pgMar w:left="1080" w:top="223" w:right="1099" w:bottom="1440" w:gutter="0" w:footer="0" w:header="0"/>
        </w:sectPr>
      </w:pPr>
    </w:p>
    <w:p>
      <w:pPr>
        <w:spacing w:after="0" w:line="201"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94-3290283</w:t>
      </w:r>
    </w:p>
    <w:p>
      <w:pPr>
        <w:spacing w:after="0" w:line="131" w:lineRule="exact"/>
        <w:rPr>
          <w:sz w:val="24"/>
          <w:szCs w:val="24"/>
          <w:color w:val="auto"/>
        </w:rPr>
      </w:pPr>
    </w:p>
    <w:p>
      <w:pPr>
        <w:sectPr>
          <w:pgSz w:w="11900" w:h="16838" w:orient="portrait"/>
          <w:cols w:equalWidth="0" w:num="2">
            <w:col w:w="6200" w:space="720"/>
            <w:col w:w="2800"/>
          </w:cols>
          <w:pgMar w:left="1080" w:top="223" w:right="1099" w:bottom="1440" w:gutter="0" w:footer="0" w:header="0"/>
          <w:type w:val="continuous"/>
        </w:sectPr>
      </w:pPr>
    </w:p>
    <w:p>
      <w:pPr>
        <w:jc w:val="center"/>
        <w:ind w:right="460"/>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w:t>
      </w:r>
    </w:p>
    <w:p>
      <w:pPr>
        <w:spacing w:after="0" w:line="29"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i w:val="1"/>
          <w:iCs w:val="1"/>
          <w:color w:val="auto"/>
        </w:rPr>
        <w:t>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(I.R.S. Employer Identification Number)</w:t>
      </w:r>
    </w:p>
    <w:p>
      <w:pPr>
        <w:spacing w:after="0" w:line="328" w:lineRule="exact"/>
        <w:rPr>
          <w:sz w:val="24"/>
          <w:szCs w:val="24"/>
          <w:color w:val="auto"/>
        </w:rPr>
      </w:pPr>
    </w:p>
    <w:p>
      <w:pPr>
        <w:sectPr>
          <w:pgSz w:w="11900" w:h="16838" w:orient="portrait"/>
          <w:cols w:equalWidth="0" w:num="2">
            <w:col w:w="5180" w:space="720"/>
            <w:col w:w="3820"/>
          </w:cols>
          <w:pgMar w:left="1080" w:top="223" w:right="109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42307 Osgood Road, Suite I, Fremont, California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(510) 445-3700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including zip code, and telephone number, including area code, of registrant’s principal executive offices)</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David H. Wang</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and President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42307 Osgood Road, Suite I, Fremont, California</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(510) 445-3700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(Name, address, including zip code, and telephone number, including area code, of agent for service)</w:t>
      </w:r>
    </w:p>
    <w:p>
      <w:pPr>
        <w:spacing w:after="0" w:line="7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2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Michael A. Hedge</w:t>
      </w:r>
    </w:p>
    <w:p>
      <w:pPr>
        <w:spacing w:after="0" w:line="9"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Jason C. Dreibelbis</w:t>
      </w:r>
    </w:p>
    <w:p>
      <w:pPr>
        <w:spacing w:after="0" w:line="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K&amp;L Gates LLP</w:t>
      </w:r>
    </w:p>
    <w:p>
      <w:pPr>
        <w:spacing w:after="0" w:line="9"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1 Park Plaza, Twelfth Floor</w:t>
      </w:r>
    </w:p>
    <w:p>
      <w:pPr>
        <w:spacing w:after="0" w:line="9"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Irvine, California 92614</w:t>
      </w:r>
    </w:p>
    <w:p>
      <w:pPr>
        <w:spacing w:after="0" w:line="9"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(949) 253-0900</w:t>
      </w:r>
    </w:p>
    <w:p>
      <w:pPr>
        <w:spacing w:after="0" w:line="27"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r>
        <w:rPr>
          <w:rFonts w:ascii="Times New Roman" w:cs="Times New Roman" w:eastAsia="Times New Roman" w:hAnsi="Times New Roman"/>
          <w:sz w:val="18"/>
          <w:szCs w:val="18"/>
          <w:color w:val="auto"/>
        </w:rPr>
        <w:t>: From time to time after this registration statement becomes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w:t>
      </w:r>
    </w:p>
    <w:p>
      <w:pPr>
        <w:spacing w:after="0" w:line="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 w:lineRule="exact"/>
        <w:rPr>
          <w:sz w:val="24"/>
          <w:szCs w:val="24"/>
          <w:color w:val="auto"/>
        </w:rPr>
      </w:pPr>
    </w:p>
    <w:p>
      <w:pPr>
        <w:jc w:val="both"/>
        <w:spacing w:after="0" w:line="230"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jc w:val="both"/>
        <w:spacing w:after="0" w:line="230"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jc w:val="both"/>
        <w:spacing w:after="0" w:line="230"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jc w:val="both"/>
        <w:spacing w:after="0" w:line="236"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2" w:lineRule="exact"/>
        <w:rPr>
          <w:sz w:val="24"/>
          <w:szCs w:val="24"/>
          <w:color w:val="auto"/>
        </w:rPr>
      </w:pPr>
    </w:p>
    <w:p>
      <w:pPr>
        <w:spacing w:after="0" w:line="224"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76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3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76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3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3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308610</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120015</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179705</wp:posOffset>
            </wp:positionV>
            <wp:extent cx="61722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720"/>
          </w:cols>
          <w:pgMar w:left="1080" w:top="223" w:right="1099" w:bottom="1440" w:gutter="0" w:footer="0" w:header="0"/>
          <w:type w:val="continuous"/>
        </w:sectPr>
      </w:pPr>
    </w:p>
    <w:bookmarkStart w:id="1" w:name="page2"/>
    <w:bookmarkEnd w:id="1"/>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2225675</wp:posOffset>
            </wp:positionH>
            <wp:positionV relativeFrom="paragraph">
              <wp:posOffset>182880</wp:posOffset>
            </wp:positionV>
            <wp:extent cx="126873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873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38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3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Offered by the Selling Stockholders</w:t>
      </w:r>
    </w:p>
    <w:p>
      <w:pPr>
        <w:spacing w:after="0" w:line="99" w:lineRule="exact"/>
        <w:rPr>
          <w:sz w:val="20"/>
          <w:szCs w:val="20"/>
          <w:color w:val="auto"/>
        </w:rPr>
      </w:pPr>
    </w:p>
    <w:p>
      <w:pPr>
        <w:jc w:val="both"/>
        <w:ind w:left="400" w:right="419"/>
        <w:spacing w:after="0" w:line="261" w:lineRule="auto"/>
        <w:rPr>
          <w:sz w:val="20"/>
          <w:szCs w:val="20"/>
          <w:color w:val="auto"/>
        </w:rPr>
      </w:pPr>
      <w:r>
        <w:rPr>
          <w:rFonts w:ascii="Times New Roman" w:cs="Times New Roman" w:eastAsia="Times New Roman" w:hAnsi="Times New Roman"/>
          <w:sz w:val="18"/>
          <w:szCs w:val="18"/>
          <w:color w:val="auto"/>
        </w:rPr>
        <w:t>We may offer and sell the securities identified above, and the selling stockholders may offer and sell shares of our Class A common stock, in each case, from time to time in one or more offerings. This prospectus provides you with a general description of the securities. We will not receive any proceeds from the sale of our Class A common stock by the selling stockholders.</w:t>
      </w:r>
    </w:p>
    <w:p>
      <w:pPr>
        <w:spacing w:after="0" w:line="72" w:lineRule="exact"/>
        <w:rPr>
          <w:sz w:val="20"/>
          <w:szCs w:val="20"/>
          <w:color w:val="auto"/>
        </w:rPr>
      </w:pPr>
    </w:p>
    <w:p>
      <w:pPr>
        <w:jc w:val="both"/>
        <w:ind w:left="400" w:right="419"/>
        <w:spacing w:after="0" w:line="258" w:lineRule="auto"/>
        <w:rPr>
          <w:sz w:val="20"/>
          <w:szCs w:val="20"/>
          <w:color w:val="auto"/>
        </w:rPr>
      </w:pPr>
      <w:r>
        <w:rPr>
          <w:rFonts w:ascii="Times New Roman" w:cs="Times New Roman" w:eastAsia="Times New Roman" w:hAnsi="Times New Roman"/>
          <w:sz w:val="18"/>
          <w:szCs w:val="18"/>
          <w:color w:val="auto"/>
        </w:rPr>
        <w:t>Each time we or any of the selling stockholders, offer and sell securities, we or any of the selling stockholders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75" w:lineRule="exact"/>
        <w:rPr>
          <w:sz w:val="20"/>
          <w:szCs w:val="20"/>
          <w:color w:val="auto"/>
        </w:rPr>
      </w:pPr>
    </w:p>
    <w:p>
      <w:pPr>
        <w:jc w:val="both"/>
        <w:ind w:left="400" w:right="419"/>
        <w:spacing w:after="0" w:line="254" w:lineRule="auto"/>
        <w:rPr>
          <w:sz w:val="20"/>
          <w:szCs w:val="20"/>
          <w:color w:val="auto"/>
        </w:rPr>
      </w:pPr>
      <w:r>
        <w:rPr>
          <w:rFonts w:ascii="Times New Roman" w:cs="Times New Roman" w:eastAsia="Times New Roman" w:hAnsi="Times New Roman"/>
          <w:sz w:val="18"/>
          <w:szCs w:val="18"/>
          <w:color w:val="auto"/>
        </w:rPr>
        <w:t>We or any of the selling stockholders may offer and sell the securities described in this prospectus and any prospectus supplement to or through one or more underwriters, dealers and agents, or directly to purchasers, or through a combination of these methods. In addition, the selling stockholders may offer and sell shares of our Class A common stock from time to time, together or separately.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For more information, please see “About This Prospectus” and “Plan of Distribution” in this prospectus. No securities may be sold without delivery of this prospectus and the applicable prospectus supplement describing the method and terms of the offering of the securities.</w:t>
      </w:r>
    </w:p>
    <w:p>
      <w:pPr>
        <w:spacing w:after="0" w:line="80" w:lineRule="exact"/>
        <w:rPr>
          <w:sz w:val="20"/>
          <w:szCs w:val="20"/>
          <w:color w:val="auto"/>
        </w:rPr>
      </w:pPr>
    </w:p>
    <w:p>
      <w:pPr>
        <w:jc w:val="both"/>
        <w:ind w:left="400" w:right="419"/>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Global Market, or Nasdaq, under the symbol “ACMR”. On March 15, 2024, the last reported sale price of our Class A common stock on Nasdaq was $27.11 per share.</w:t>
      </w:r>
    </w:p>
    <w:p>
      <w:pPr>
        <w:spacing w:after="0" w:line="50" w:lineRule="exact"/>
        <w:rPr>
          <w:sz w:val="20"/>
          <w:szCs w:val="20"/>
          <w:color w:val="auto"/>
        </w:rPr>
      </w:pPr>
    </w:p>
    <w:p>
      <w:pPr>
        <w:jc w:val="both"/>
        <w:ind w:left="400" w:right="41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Investing in these securities involves significant risks. See “Risk Factors” on page </w:t>
      </w:r>
      <w:r>
        <w:rPr>
          <w:rFonts w:ascii="Times New Roman" w:cs="Times New Roman" w:eastAsia="Times New Roman" w:hAnsi="Times New Roman"/>
          <w:sz w:val="18"/>
          <w:szCs w:val="18"/>
          <w:b w:val="1"/>
          <w:bCs w:val="1"/>
          <w:u w:val="single" w:color="auto"/>
          <w:color w:val="0000EE"/>
        </w:rPr>
        <w:t>2</w:t>
      </w:r>
      <w:r>
        <w:rPr>
          <w:rFonts w:ascii="Times New Roman" w:cs="Times New Roman" w:eastAsia="Times New Roman" w:hAnsi="Times New Roman"/>
          <w:sz w:val="18"/>
          <w:szCs w:val="18"/>
          <w:b w:val="1"/>
          <w:bCs w:val="1"/>
          <w:color w:val="auto"/>
        </w:rPr>
        <w:t xml:space="preserve"> of this prospectus and in any accompanying prospectus supplement, and in the documents incorporated by reference in this prospectus for a discussion of the factors you should carefully consider before deciding to purchase these securities.</w:t>
      </w:r>
    </w:p>
    <w:p>
      <w:pPr>
        <w:spacing w:after="0" w:line="68" w:lineRule="exact"/>
        <w:rPr>
          <w:sz w:val="20"/>
          <w:szCs w:val="20"/>
          <w:color w:val="auto"/>
        </w:rPr>
      </w:pPr>
    </w:p>
    <w:p>
      <w:pPr>
        <w:jc w:val="both"/>
        <w:ind w:left="400" w:right="419"/>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date of this prospectus is March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135890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55"/>
        </w:trPr>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50"/>
        </w:trPr>
        <w:tc>
          <w:tcPr>
            <w:tcW w:w="76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432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37"/>
        </w:trPr>
        <w:tc>
          <w:tcPr>
            <w:tcW w:w="81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1</w:t>
            </w:r>
          </w:p>
        </w:tc>
        <w:tc>
          <w:tcPr>
            <w:tcW w:w="60" w:type="dxa"/>
            <w:vAlign w:val="bottom"/>
            <w:shd w:val="clear" w:color="auto" w:fill="CCEEFF"/>
          </w:tcPr>
          <w:p>
            <w:pPr>
              <w:spacing w:after="0"/>
              <w:rPr>
                <w:sz w:val="20"/>
                <w:szCs w:val="20"/>
                <w:color w:val="auto"/>
              </w:rPr>
            </w:pP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ABOUT OUR COMPANY</w:t>
            </w:r>
          </w:p>
        </w:tc>
        <w:tc>
          <w:tcPr>
            <w:tcW w:w="2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1</w:t>
            </w:r>
          </w:p>
        </w:tc>
        <w:tc>
          <w:tcPr>
            <w:tcW w:w="60" w:type="dxa"/>
            <w:vAlign w:val="bottom"/>
          </w:tcPr>
          <w:p>
            <w:pPr>
              <w:spacing w:after="0"/>
              <w:rPr>
                <w:sz w:val="19"/>
                <w:szCs w:val="19"/>
                <w:color w:val="auto"/>
              </w:rPr>
            </w:pPr>
          </w:p>
        </w:tc>
      </w:tr>
      <w:tr>
        <w:trPr>
          <w:trHeight w:val="75"/>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2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2</w:t>
            </w:r>
          </w:p>
        </w:tc>
        <w:tc>
          <w:tcPr>
            <w:tcW w:w="60" w:type="dxa"/>
            <w:vAlign w:val="bottom"/>
            <w:shd w:val="clear" w:color="auto" w:fill="CCEEFF"/>
          </w:tcPr>
          <w:p>
            <w:pPr>
              <w:spacing w:after="0"/>
              <w:rPr>
                <w:sz w:val="19"/>
                <w:szCs w:val="19"/>
                <w:color w:val="auto"/>
              </w:rPr>
            </w:pP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2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4</w:t>
            </w:r>
          </w:p>
        </w:tc>
        <w:tc>
          <w:tcPr>
            <w:tcW w:w="60" w:type="dxa"/>
            <w:vAlign w:val="bottom"/>
          </w:tcPr>
          <w:p>
            <w:pPr>
              <w:spacing w:after="0"/>
              <w:rPr>
                <w:sz w:val="19"/>
                <w:szCs w:val="19"/>
                <w:color w:val="auto"/>
              </w:rPr>
            </w:pPr>
          </w:p>
        </w:tc>
      </w:tr>
      <w:tr>
        <w:trPr>
          <w:trHeight w:val="74"/>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2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5</w:t>
            </w:r>
          </w:p>
        </w:tc>
        <w:tc>
          <w:tcPr>
            <w:tcW w:w="60" w:type="dxa"/>
            <w:vAlign w:val="bottom"/>
            <w:shd w:val="clear" w:color="auto" w:fill="CCEEFF"/>
          </w:tcPr>
          <w:p>
            <w:pPr>
              <w:spacing w:after="0"/>
              <w:rPr>
                <w:sz w:val="19"/>
                <w:szCs w:val="19"/>
                <w:color w:val="auto"/>
              </w:rPr>
            </w:pP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DESCRIPTION OF DEBT SECURITIES</w:t>
            </w:r>
          </w:p>
        </w:tc>
        <w:tc>
          <w:tcPr>
            <w:tcW w:w="2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9</w:t>
            </w:r>
          </w:p>
        </w:tc>
        <w:tc>
          <w:tcPr>
            <w:tcW w:w="60" w:type="dxa"/>
            <w:vAlign w:val="bottom"/>
          </w:tcPr>
          <w:p>
            <w:pPr>
              <w:spacing w:after="0"/>
              <w:rPr>
                <w:sz w:val="19"/>
                <w:szCs w:val="19"/>
                <w:color w:val="auto"/>
              </w:rPr>
            </w:pPr>
          </w:p>
        </w:tc>
      </w:tr>
      <w:tr>
        <w:trPr>
          <w:trHeight w:val="74"/>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OTHER SECURITIES</w:t>
            </w:r>
          </w:p>
        </w:tc>
        <w:tc>
          <w:tcPr>
            <w:tcW w:w="3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17</w:t>
            </w: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SELLING STOCKHOLDERS</w:t>
            </w:r>
          </w:p>
        </w:tc>
        <w:tc>
          <w:tcPr>
            <w:tcW w:w="3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0000EE"/>
              </w:rPr>
              <w:t>17</w:t>
            </w:r>
          </w:p>
        </w:tc>
      </w:tr>
      <w:tr>
        <w:trPr>
          <w:trHeight w:val="74"/>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3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18</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3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0000EE"/>
              </w:rPr>
              <w:t>19</w:t>
            </w:r>
          </w:p>
        </w:tc>
      </w:tr>
      <w:tr>
        <w:trPr>
          <w:trHeight w:val="74"/>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EXPERTS</w:t>
            </w:r>
          </w:p>
        </w:tc>
        <w:tc>
          <w:tcPr>
            <w:tcW w:w="3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19</w:t>
            </w: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3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0000EE"/>
              </w:rPr>
              <w:t>20</w:t>
            </w:r>
          </w:p>
        </w:tc>
      </w:tr>
      <w:tr>
        <w:trPr>
          <w:trHeight w:val="75"/>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4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INCORPORATION BY REFERENCE</w:t>
            </w:r>
          </w:p>
        </w:tc>
        <w:tc>
          <w:tcPr>
            <w:tcW w:w="3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21</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4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-2691130</wp:posOffset>
            </wp:positionV>
            <wp:extent cx="1111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66"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or incorporated by reference into this prospectus, in any accompanying prospectus supplement or any free writing prospectuses prepared by or on behalf of us or to which we have referred you. Neither we, nor the selling stockholders have authorized any person to give any information or to make any representations other than those contained or incorporated by reference in this prospectus, any accompanying prospectus supplement, or any free writing prospectuses prepared by or on behalf of us or to which we have referred you, and, if given or made, you must not rely upon the information or representations as having been authorized. This prospectus, any accompanying prospectus supplement and any free writing prospectuses prepared by or on behalf of us or to which we have referred you, do not constitute an offer to sell or the solicitation of an offer to buy securities, nor do this prospectus or any accompanying supplement to this prospectus constitute an offer to sell or the solicitation of an offer to buy securities in any jurisdiction to any person to whom it is unlawful to make such offer or solicitation. The information contained in this prospectus, any accompanying prospectus supplement, and any free writing prospectuses prepared by or on behalf of us or to which we have referred you, speaks only as of the date set forth on the cover page and may not reflect subsequent changes in our business, financial condition, results of operations and prospects even though this prospectus, any accompanying prospectus supplement, and any free writing prospectuses prepared by or on behalf of us or to which we have referred you, is delivered or securities are sold on a later date.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or the SEC, as a “well-known seasoned issuer” as defined in Rule 405 under the Securities Act of 1933, as amended, or the Securities Act, utilizing a “shelf” registration process. Under this shelf registration statement, we and the selling stockholders to be named in a supplement to this prospectus may sell securities from time to time in one or more offerings, as described in this prospectus. Each time that we or the selling stockholders offer and sell securities, we or the selling stockholders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w:t>
      </w:r>
    </w:p>
    <w:p>
      <w:pPr>
        <w:spacing w:after="0" w:line="88"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and the selling stockholders, have not authorized anyone to provide you with any information or to make any representations other than those contained in this prospectus, any applicable prospectus supplement or any free writing prospectuses prepared by or on behalf of us or to which we have referred you. We and the selling stockholders take no responsibility for, and can provide no assurance as to the reliability of, any other information that others may give you. We and the selling stockholders will not make an offer to sell these securities in any jurisdiction where the offer or sale is not permitted. You should assume that the information appearing in this prospectus, any applicable prospectus supplement or any free writing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estimates and projections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References in this prospectus to “our company,” “our,” “us,” “we” and similar terms refer to ACM Research, Inc.</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not, unless the context otherwise requires, subsidiaries of ACM Research, Inc.</w:t>
      </w:r>
    </w:p>
    <w:p>
      <w:pPr>
        <w:spacing w:after="0" w:line="9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logo design is one of our trademarks. This prospectus also includes trademarks, tradenames, and service marks that are the property of other organizations. For convenience, our logo appears in this prospectus without the ™ symbol, but those uses are not intended to indicate that we will not assert, to the fullest extent under applicable law, our rights to this trademark.</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OUR COMPANY</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supply advanced, innovative capital equipment developed for the global semiconductor industry. Fabricators of advanced integrated circuits, or chips, can use our wet-cleaning and other front-end processing tools in numerous steps to improve product yield, even at increasingly advanced process nodes. We have designed these tools for use in fabricating foundry, logic and memory chips, including dynamic random-access memory and 3D NAND-flash memory chips. We also develop, manufacture and sell a range of advanced packaging tools to wafer assembly and packaging customers.</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incorporated in California in January 1998 and redomesticated in Delaware in November 2016. Our headquarters are located at 42307 Osgood Road, Suite I, Fremont, California 94539, where our telephone number is (510) 445-3700.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Investment in any securities offered pursuant to this prospectus and the applicable prospectus supplement involves risks. Before acquiring any of such securities, you should carefully consider the risk factors incorporated by reference to our most recent Annual Report on Form 10-K and any subsequent Quarterly Reports on Form 10-Q or Current Reports on Form 8-K filed by us, and all other information contained or incorporated by reference into this prospectus, as updated by our filings under the Securities Exchange Act of 1934, as amended, or the Exchange Act, and the risk factors and other information contained in the applicable prospectus supplement and any applicable free writing prospectus. The occurrence of any of these risks might cause you to lose all or part of your investment in the offered securities.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in the documents incorporated herein by reference.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 AND STATISTICAL DATA</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forward-looking statements within the meaning of the Private Securities Litigation Reform Act of 1995. All statements, other than statements of historical facts, included or incorporated by reference in this prospectus regarding our strategy, future operations, future financial position, future revenue, projected costs, prospects, plans and objectives of management are forward-looking statements. In some cases, you can identify forward-looking statements by terms such as “may,” “might,” “will,” “objective,” “intend,” “should,” “could,” “can,” “would,” “expect,” “believe,” “anticipate,” “project,” “target,” “design,” “estimate,” “predict,” “potential,” “plan” or the negative of these terms, and similar expressions intended to identify forward-looking statements. These statements reflect our current views with respect to future events and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including those described or incorporated by reference in our most our Annual Report on Form 10-K and any subsequent Quarterly Reports on Form 10-Q or Current Reports on Form 8-K, that may cause our actual results, performance or achievements to be materially different from any future results, performance or achievements expressed or implied by these forward-looking statements.</w:t>
      </w:r>
    </w:p>
    <w:p>
      <w:pPr>
        <w:spacing w:after="0" w:line="8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information included under the heading “Item 7. Management’s Discussion and Analysis of Financial Condition and Results of Operations—Overview,” of Part II of our most recent Annual Report on Form 10-K contains statistical data and estimates, including forecasts, that are based on information provided by Gartner, Inc., or Gartner, in “Forecast: Semiconductor Wafer Fab Equipment, Worldwide, 4Q23 Update” (December 2023), or the Gartner Report. The Gartner Report represents research opinions or viewpoints that are published, as part of a syndicated subscription service, by Gartner and are not representations of fact. The Gartner Report speaks as of its original publication date (and not as of the date of this prospectus), and the opinions expressed in the Gartner Report are subject to change without notice. While we are not aware of any misstatements regarding any of the data presented from the Gartner Report, estimates, and in particular forecasts, involve numerous assumptions and are subject to risks and uncertainties, as well as change based on various factors, that could cause results to differ materially from those expressed in the data presented below.</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Any forward-looking statement made or incorporated by reference into this prospectus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You should read this prospectus and the documents incorporated by reference herein completely and with the understanding that our actual future results may be materially different from what we expect. We qualify all of our forward-looking statements by these cautionary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from the sale of securities as set forth in the applicable prospectus supplement. We will not receive any of the proceeds from the sale of Class A common stock being offered by any selling stockholders.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of February 23, 2024, our authorized capital stock consisted of 150,000,000 shares of Class A common stock, $0.0001 par value per share, 5,307,816 shares of Class B common stock, $0.0001 par value per share, and 10,000,000 shares of preferred stock, $0.0001 par value per share. Class A common stock and Class B common stock are referred to collectively as common stock.</w:t>
      </w:r>
    </w:p>
    <w:p>
      <w:pPr>
        <w:spacing w:after="0" w:line="72"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following summary describes our capital stock, including material provisions of our charter, our bylaws and Delaware law. Because the following is only a summary, it does not contain all of the information that may be important to you. For a complete description, you should refer to our charter and bylaws, copies of which are incorporated by reference as exhibits to the registration statement of which this prospectus is a part.</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Outstanding Shares and Options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February 23, 2024, there were:</w:t>
      </w:r>
    </w:p>
    <w:p>
      <w:pPr>
        <w:spacing w:after="0" w:line="117" w:lineRule="exact"/>
        <w:rPr>
          <w:sz w:val="20"/>
          <w:szCs w:val="20"/>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56,073,205 shares of Class A common stock outstanding, held of record by 46 stockholders;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11,114,548 shares of Class A common stock issuable upon exercise of outstanding stock options;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5,021,811 shares of Class B common stock outstanding, held of record by 16 stockholders.</w:t>
      </w:r>
    </w:p>
    <w:p>
      <w:pPr>
        <w:spacing w:after="0" w:line="117"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Authorized but unissued shares of Class B common stock are not available for reissuance. The actual number of stockholders is greater than the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Except as otherwise required by Delaware law, at every annual or special meeting of stockholders, holders of Class B common stock are entitled to 20 votes per share and holders of Class A common stock are entitled to one vote per share. The holders of Class A common stock and Class B common stock vote together as a single class, unless otherwise required by law. Delaware law could require either holders of Class A common stock or Class B common stock to vote separately as a single class in the following circumstances:</w:t>
      </w:r>
    </w:p>
    <w:p>
      <w:pPr>
        <w:spacing w:after="0" w:line="75" w:lineRule="exact"/>
        <w:rPr>
          <w:sz w:val="20"/>
          <w:szCs w:val="20"/>
          <w:color w:val="auto"/>
        </w:rPr>
      </w:pPr>
    </w:p>
    <w:p>
      <w:pPr>
        <w:jc w:val="both"/>
        <w:ind w:left="1000" w:right="319" w:hanging="348"/>
        <w:spacing w:after="0" w:line="266"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our charter to increase the authorized number of shares of a class of stock, or to increase or decrease the per share par value of a class of stock, then that class would be required to vote separately to approve the proposed amendment;</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our charter in a manner that alters or changes the powers, preferences or special rights of a class of stock in a manner that affected its holders adversely, then that class would be required to vote separately to approve the proposed amendment;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declare a dividend or distribution that would be disparate as between the two classes.</w:t>
      </w:r>
    </w:p>
    <w:p>
      <w:pPr>
        <w:spacing w:after="0" w:line="11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Stockholders do not have the ability to cumulate votes for the election of directors. The board of directors is not currently classified. Our charter and bylaws, however, provide for a classified board of directors consisting of three classes of approximately equal size, each serving staggered three-year terms, when the outstanding shares of Class B common stock represent less than a majority of the combined voting power of the common stock. Our directors will be assigned by the then-current board to a class when the outstanding shares of Class B common stock represent less than a majority of the combined voting power of the common stock.</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the holders of our outstanding shares of common stock are entitled to receive dividends, if any, as may be declared from time to time by the board of directors out of legally available funds. The holders of Class A common stock and Class B common stock are entitled to share equally, identically and ratably, on a per share basis, with respect to any dividend or distribution unless different treatment of the shares of each such class is approved by the affirmative vote of the holders of a majority of the outstanding shares of Class A common stock and Class B common stock, each voting separately as a class. At present, we have no plans to issue dividends.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jc w:val="center"/>
        <w:ind w:right="6879"/>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3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Each outstanding share of Class B common stock is convertible into one share of Class A common stock (a) at any time, at the option of the holder, or (b) upon any transfer of such share of Class B common stock, whether or not for value, except for certain transfers described in our charter, including transfers to family members, trusts solely for the benefit of the stockholder or their family members, and partnerships, corporations, and other entities exclusively owned by the stockholder or their family members. In addition, on or after the date of this prospectus, all outstanding shares of Class B common stock will convert automatically into shares of Class A common stock, on a one for one basis, upon the election of the holders of a majority of the then outstanding shares of Class B common stock. Once converted or transferred and converted into Class A common stock, shares of Class B common stock will not be reissued.</w:t>
      </w:r>
    </w:p>
    <w:p>
      <w:pPr>
        <w:spacing w:after="0" w:line="3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Rights and Preferences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Other than as described above, holders of common stock have no preemptive, conversion or subscription rights, and there are no redemption or sinking fund provisions applicable to common stock. The rights, preferences and privileges of the holders of common stock are subject to, and may be adversely affected by, the rights of the holders of shares of any series of preferred stock that we may designate and issue in the future.</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Under the terms of our charter, the board of directors is authorized to issue up to 10,000,000 shares of preferred stock in one or more series, to establish the number of shares to be included in each such series, and to fix the designation, powers, preferences and rights of such shares and any qualifications, limitations or restrictions thereof. These rights, preferences and privileges could include dividend rights, conversion rights, voting rights, terms of redemption, liquidation preferences, sinking fund terms and other provisions, any or all of which may be greater than the rights of common stock. The issuance of preferred stock with voting and conversion rights may adversely affect the voting power of the holders of common stock, including the loss of voting control to others, and the likelihood that such holders will receive dividend payments and payments upon our liquidation. In addition, the issuance of preferred stock could have the effect of delaying, deferring or preventing a change in control of our company or other corporate action.</w:t>
      </w: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Anti-Takeover Provision</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So long as the outstanding shares of Class B common stock represent a majority of the combined voting power of common stock, the holders of Class B common stock will effectively control all matters submitted to our stockholders for a vote, as well as the overall management and direction of our company, which will have the effect of delaying, deferring or discouraging another person from acquiring control of our company.</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After such time as the shares of Class B common stock no longer represent a majority of the combined voting power of common stock, the provisions of Delaware law, and our charter and our bylaws may have the effect of delaying, deferring or discouraging another person from acquiring control of our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Delaware Law</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Section 203 of the Delaware General Corporation Law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75" w:lineRule="exact"/>
        <w:rPr>
          <w:sz w:val="20"/>
          <w:szCs w:val="20"/>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approved by the board of directors prior to the time that the interested stockholder became an interested stockholder;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stockholder’s becoming an interested stockholder, the interested stockholder owned at least 85% of the voting stock of the corporation outstanding at the time the transaction commenced, excluding stock owned by directors who are also officers of the corporation; or</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such time that the stockholder became an interested stockholder the business combination is approved by the board and authorized at an annual or special meeting of stockholders by at least two-thirds of the outstanding voting stock that is not owned by the interested stockholder.</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 Delaware corporation may “opt out” of these provisions with an express provision in its original charter or an express provision in its charter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Charter and Bylaw Provisions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Our charter and bylaws include a number of provisions that may have the effect of deterring hostile takeovers or delaying or preventing changes in control of our company, even after such time as the shares of Class B common stock no longer represent a majority of the combined voting power of common stock, including the following:</w:t>
      </w:r>
    </w:p>
    <w:p>
      <w:pPr>
        <w:spacing w:after="0" w:line="66" w:lineRule="exact"/>
        <w:rPr>
          <w:sz w:val="20"/>
          <w:szCs w:val="20"/>
          <w:color w:val="auto"/>
        </w:rPr>
      </w:pPr>
    </w:p>
    <w:p>
      <w:pPr>
        <w:jc w:val="both"/>
        <w:ind w:left="1000" w:right="319" w:hanging="348"/>
        <w:spacing w:after="0" w:line="257"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Separate Class B Vote for Certain Transactions</w:t>
      </w:r>
      <w:r>
        <w:rPr>
          <w:rFonts w:ascii="Times New Roman" w:cs="Times New Roman" w:eastAsia="Times New Roman" w:hAnsi="Times New Roman"/>
          <w:sz w:val="18"/>
          <w:szCs w:val="18"/>
          <w:color w:val="auto"/>
        </w:rPr>
        <w:t>. Until the first date on which the outstanding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B common stock represent less than 35% of the combined voting power of common stock, any transaction that would result in a change in control of our company will require the approval of a majority of our outstanding Class B common stock voting as a separate class. This provision could delay or prevent the approval of a change in control that might otherwise be approved by a majority of outstanding shares of Class A and Class B common stock, voting together on a combined basis.</w:t>
      </w:r>
    </w:p>
    <w:p>
      <w:pPr>
        <w:spacing w:after="0" w:line="74" w:lineRule="exact"/>
        <w:rPr>
          <w:rFonts w:ascii="Times New Roman" w:cs="Times New Roman" w:eastAsia="Times New Roman" w:hAnsi="Times New Roman"/>
          <w:sz w:val="18"/>
          <w:szCs w:val="18"/>
          <w:color w:val="auto"/>
        </w:rPr>
      </w:pPr>
    </w:p>
    <w:p>
      <w:pPr>
        <w:jc w:val="both"/>
        <w:ind w:left="1000" w:right="299" w:hanging="348"/>
        <w:spacing w:after="0" w:line="257"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Dual Class Stock</w:t>
      </w:r>
      <w:r>
        <w:rPr>
          <w:rFonts w:ascii="Times New Roman" w:cs="Times New Roman" w:eastAsia="Times New Roman" w:hAnsi="Times New Roman"/>
          <w:sz w:val="18"/>
          <w:szCs w:val="18"/>
          <w:color w:val="auto"/>
        </w:rPr>
        <w:t>. As described above in “—Common Stock—Voting Rights,” our charter provides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dual class common stock structure, which provides certain members of our senior management with the ability to control the outcome of matters requiring stockholder approval, even if they collectively own significantly less than a majority of the shares of our outstanding Class A and Class B common stock, including the election of directors and significant corporate transactions, such as a merger or other sale of our company or its assets.</w:t>
      </w:r>
    </w:p>
    <w:p>
      <w:pPr>
        <w:spacing w:after="0" w:line="74"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Supermajority Approvals</w:t>
      </w:r>
      <w:r>
        <w:rPr>
          <w:rFonts w:ascii="Times New Roman" w:cs="Times New Roman" w:eastAsia="Times New Roman" w:hAnsi="Times New Roman"/>
          <w:sz w:val="18"/>
          <w:szCs w:val="18"/>
          <w:color w:val="auto"/>
        </w:rPr>
        <w:t>. Our charter and bylaws provide that when the outstanding shares of Class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represent less than a majority of the combined voting power of common stock, certain amendments to our charter or bylaws will require the approval of two-thirds of the combined vote of our then-outstanding shares of Class A and Class B common stock. This will have the effect of making it more difficult to amend our charter or bylaws to remove or modify certain provisions.</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Board of Directors Vacancies</w:t>
      </w:r>
      <w:r>
        <w:rPr>
          <w:rFonts w:ascii="Times New Roman" w:cs="Times New Roman" w:eastAsia="Times New Roman" w:hAnsi="Times New Roman"/>
          <w:sz w:val="18"/>
          <w:szCs w:val="18"/>
          <w:color w:val="auto"/>
        </w:rPr>
        <w:t>. Our charter and bylaws provide that stockholders may fill vacant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directorships. When the outstanding shares of Class B common stock represent less than a majority of the combined voting power of common stock, our charter and bylaws authorize only the board of directors to fill vacant directorships. In addition, the number of directors constituting the board is set only by resolution adopted by a majority vote of our entire board. These provisions restricting the filling of vacancies will prevent a stockholder from increasing the size of the board and gaining control of the board by filling the resulting vacancies with its own nominees. Our charter provides that directors may be removed with or without cause only by the affirmative vote of the holders of at least two-thirds of the votes that all of the stockholders would be entitled to cast in any annual election of directors.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jc w:val="both"/>
        <w:ind w:left="1000" w:right="299" w:hanging="348"/>
        <w:spacing w:after="0" w:line="255"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Classified Board</w:t>
      </w:r>
      <w:r>
        <w:rPr>
          <w:rFonts w:ascii="Times New Roman" w:cs="Times New Roman" w:eastAsia="Times New Roman" w:hAnsi="Times New Roman"/>
          <w:sz w:val="18"/>
          <w:szCs w:val="18"/>
          <w:color w:val="auto"/>
        </w:rPr>
        <w:t>. The board of directors is not currently classified. Our charter and bylaws provide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outstanding shares of Class B common stock represent less than a majority of the combined voting power of common stock, the board will be classified into three classes of directors, each of which will hold office for a three-year term. In addition, thereafter, directors may be removed from the board with or without cause only by the affirmative vote of the holders of at least two-thirds of the voting power of the then-outstanding shares of Class A and Class B common stock. The existence of a classified board could delay a successful tender offeror from obtaining majority control of the board, and the prospect of that delay might deter a potential offeror.</w:t>
      </w:r>
    </w:p>
    <w:p>
      <w:pPr>
        <w:spacing w:after="0" w:line="76"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Stockholder Action; Special Meeting of Stockholders</w:t>
      </w:r>
      <w:r>
        <w:rPr>
          <w:rFonts w:ascii="Times New Roman" w:cs="Times New Roman" w:eastAsia="Times New Roman" w:hAnsi="Times New Roman"/>
          <w:sz w:val="18"/>
          <w:szCs w:val="18"/>
          <w:color w:val="auto"/>
        </w:rPr>
        <w:t>. Our charter provides that stockholders will be 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take action by written consent. When the outstanding shares of Class B common stock represent less than a majority of the combined voting power of common stock, our stockholders will no longer be able to take action by written consent, and will only be able to take action at annual or special meetings of our stockholders. Stockholders will not be permitted to cumulate their votes for the election of directors. The absence of cumulative voting may make it more difficult for stockholders who own less than a majority in voting power to elect any directors to the board of directors. Our bylaws further provide that special meetings of our stockholders may be called only by the board, the chair of the board or our chief executive officer. A stockholder may not call a special meeting, which may delay the ability of our stockholders to force consideration of a proposal or for holders controlling a majority in voting power of our capital stock to take any action, including the removal of director.</w:t>
      </w:r>
    </w:p>
    <w:p>
      <w:pPr>
        <w:spacing w:after="0" w:line="83" w:lineRule="exact"/>
        <w:rPr>
          <w:rFonts w:ascii="Times New Roman" w:cs="Times New Roman" w:eastAsia="Times New Roman" w:hAnsi="Times New Roman"/>
          <w:sz w:val="18"/>
          <w:szCs w:val="18"/>
          <w:color w:val="auto"/>
        </w:rPr>
      </w:pPr>
    </w:p>
    <w:p>
      <w:pPr>
        <w:jc w:val="both"/>
        <w:ind w:left="1000" w:right="299" w:hanging="348"/>
        <w:spacing w:after="0" w:line="257"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r>
        <w:rPr>
          <w:rFonts w:ascii="Times New Roman" w:cs="Times New Roman" w:eastAsia="Times New Roman" w:hAnsi="Times New Roman"/>
          <w:sz w:val="18"/>
          <w:szCs w:val="18"/>
          <w:color w:val="auto"/>
        </w:rPr>
        <w:t>. Our bylaws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advance notice procedures for stockholders seeking to bring business before our annual meeting of stockholders, or to nominate candidates for election as directors at any meeting of stockholders. Our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74"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Issuance of Undesignated Preferred Stock</w:t>
      </w:r>
      <w:r>
        <w:rPr>
          <w:rFonts w:ascii="Times New Roman" w:cs="Times New Roman" w:eastAsia="Times New Roman" w:hAnsi="Times New Roman"/>
          <w:sz w:val="18"/>
          <w:szCs w:val="18"/>
          <w:color w:val="auto"/>
        </w:rPr>
        <w:t>. The board of directors has the authority, without further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stockholders, to issue shares of undesignated preferred stock with rights and preferences, including voting rights, designated from time to time by the board. The existence of authorized but unissued shares of preferred stock enables the board to render more difficult or to discourage an attempt to obtain control of us by means of a merger, tender offer, proxy contest or otherwise.</w:t>
      </w:r>
    </w:p>
    <w:p>
      <w:pPr>
        <w:spacing w:after="0" w:line="3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charter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or our charter or bylaws; any action to interpret, apply, enforce, or determine the validity of our charter or bylaws; or any action asserting a claim against us that is governed by the internal affairs doctrine. The enforceability of similar choice of forum provisions in other companies’ certificates of incorporation has been challenged in legal proceedings, and it is possible that a court could find these types of provisions to be inapplicable or unenforceable.</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Nasdaq Global Market</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Class A common stock is listed on the Nasdaq Global Market under the symbol “ACMR.”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any applicable prospectus supplement or free writing prospectus. The terms of any debt securities offered under any applicable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any applicable prospectus supplements and any related free writing prospectuses related to the debt securities that we may offer under this prospectus, as well as the complete indenture that contains the terms of the debt securities.</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One or more series of debt securities may be variable rate debt securities that may be exchanged for fixed rate debt securities. Material U.S. federal income tax considerations applicable to debt securities issued with OID will be described in more detail in any applicable prospectus supplement.</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will comply with Section 14(e) under the Exchange Act to the extent applicable, and any other tender offer rules under the Exchange Act, which may then be applicable, in connection with any obligation we may have to purchase debt securities at the option of the holders thereof. Any such obligation applicable to a series of debt securities will be described in any applicable prospectus supplement.</w:t>
      </w:r>
    </w:p>
    <w:p>
      <w:pPr>
        <w:spacing w:after="0" w:line="7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Any applicable prospectus supplement relating to a series of debt securities being offered will contain the following terms, if applicable:</w:t>
      </w:r>
    </w:p>
    <w:p>
      <w:pPr>
        <w:spacing w:after="0" w:line="54" w:lineRule="exact"/>
        <w:rPr>
          <w:sz w:val="20"/>
          <w:szCs w:val="20"/>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debt securities and the ranking;</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and any limit on that amount;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debt securities will be issued;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debt securities mature;</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or variable rate at which the debt securities will bear interest, or the method by which the rate shall be determined;</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place and manner of making principal, interest and any premium payments on the debt securities, and, if applicable, where the debt securities may be surrendered for registration of transfer or exchange;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29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after which the debt securities may be converted or exchanged into or for our common stock or another company’s securities or property or cash, and the terms of any such conversion or exchange;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early repayment provisions;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sinking fund or similar provisions;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denominations;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subordination provisions;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guarantees of the securities by our subsidiaries or others;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in which we will pay the principal, interest and any premium payments on the debt securities;</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of (and premium, if any) or interest, if any, on the debt securities may be determined with reference to an index, formula or other method and the manner in which the amounts shall be determined;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period within which, the manner in which and the terms and conditions upon which the purchaser of the securities can select the payment currency;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granting special rights to the holders of debt securities upon certain events;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additions to or changes in the events of default or covenants with respect to the debt securities, and any change in the right of the trustee or the holders, from those described in this prospectus, to declare principal, premium and interest to be due and payable;</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we will pay any additional amounts on the debt securities for any tax, assessment or governmental charge and, if so, whether we will have the option to redeem the debt securities instead of paying those amounts;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(registered and/or bearer securities), any restrictions applicable to the offer, sale or delivery of bearer securities and the terms, if any, upon which bearer securities may be exchanged for registered securities and vice versa;</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any bearer securities or any global security, if other than the date of original issuance of the first security of the series to be issued;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to whom and manner in which any interest shall be payable;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will be issued in whole or in part in the form of one or more global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depositary for global securities;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 temporary security is to be issued with respect to the series and whether any interest payable prior to the issuance of definitive securities of the series will be credited to the account of the persons entitled thereto;</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upon which beneficial interests in a temporary global security may be exchanged in whole or in part for beneficial interests in a definitive global security or for individual definitive securities and the terms upon which exchanges may be made;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exchange(s), if any, on which the securities will be listed;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underwriter(s) will act as market maker(s) for the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(certificated or book-entry);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and/or terms of certificates, documents or conditions which may be necessary, if any, for the debt securities to be issuable in final form;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terms not inconsistent with the provisions of the indenture.</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will set forth in any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Except as set forth in any applicable prospectus supplement, the indenture will provide that we shall not consolidate with, or sell, assign, transfer, lease or convey all or substantially all of our assets to, or merge into, another business entity, unless:</w:t>
      </w:r>
    </w:p>
    <w:p>
      <w:pPr>
        <w:spacing w:after="0" w:line="68" w:lineRule="exact"/>
        <w:rPr>
          <w:sz w:val="20"/>
          <w:szCs w:val="20"/>
          <w:color w:val="auto"/>
        </w:rPr>
      </w:pPr>
    </w:p>
    <w:p>
      <w:pPr>
        <w:jc w:val="both"/>
        <w:ind w:left="1000" w:right="319" w:hanging="348"/>
        <w:spacing w:after="0" w:line="261"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entity or, in the event that we are not the surviving entity, the entity formed by the transaction (in a consolidation) or the entity which received the transfer of assets is organized under the laws of any state of the United States or the District of Columbia and that the entity assumes all of our obligations under the debt securities and the indenture; and</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event of default, as defined in the indenture, shall have occurred and be continuing.</w:t>
      </w:r>
    </w:p>
    <w:p>
      <w:pPr>
        <w:spacing w:after="0" w:line="54"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Notwithstanding the foregoing, we may merge with another business entity or acquire by purchase or otherwise all or any part of the property or assets of any other company in a transaction in which we are the surviving entity.</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Unless otherwise specified in any applicable prospectus supplement, the following are events of default with respect to any series of debt securities issued under the indenture:</w:t>
      </w:r>
    </w:p>
    <w:p>
      <w:pPr>
        <w:spacing w:after="0" w:line="54" w:lineRule="exact"/>
        <w:rPr>
          <w:sz w:val="20"/>
          <w:szCs w:val="20"/>
          <w:color w:val="auto"/>
        </w:rPr>
      </w:pPr>
    </w:p>
    <w:p>
      <w:pPr>
        <w:ind w:left="1000" w:right="3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any interest on any debt security of that series when due, and the default continues for 30 days;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make sinking fund payments when due;</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any covenant or warranty contained in the indenture, other than covenants or warranties contained in the indenture solely for the benefit of other series of debt securities, and the default continues for 30 days after notice from the trustee or the holders of at least 25% in principal amount of the then outstanding debt securities of that series;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that particular series of debt securities.</w:t>
      </w:r>
    </w:p>
    <w:p>
      <w:pPr>
        <w:spacing w:after="0" w:line="11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If an event of default occurs and continues, then upon written notice to us, the trustee or the holders of at least 25% in principal amount of the outstanding debt securities of that series may declare the unpaid principal amount of and any accrued and unpaid interest on, all debt securities of that series to be due and payable immediately. However, at any time after a declaration of acceleration with respect to debt securities of any series has been made, the holders of a majority in principal amount of the outstanding debt securities of that series may rescind and annul the acceleration:</w:t>
      </w:r>
    </w:p>
    <w:p>
      <w:pPr>
        <w:spacing w:after="0" w:line="79" w:lineRule="exact"/>
        <w:rPr>
          <w:sz w:val="20"/>
          <w:szCs w:val="20"/>
          <w:color w:val="auto"/>
        </w:rPr>
      </w:pPr>
    </w:p>
    <w:p>
      <w:pPr>
        <w:ind w:left="1000" w:right="31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events of default other than the nonpayment of principal of or interest on the debt securities of that series which have become due solely because of the acceleration have been waived or cured; and</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rescission would not conflict with any judgment or decree of a court of competent jurisdiction. For information as to waiver of defaults, see “Modification of Indenture; Waiver” below.</w:t>
      </w:r>
    </w:p>
    <w:p>
      <w:pPr>
        <w:spacing w:after="0" w:line="54"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indenture will provide that, subject to the duty of the trustee during an event of default to act with the required standard of care, the trustee will be under no obligation to exercise any of its rights or powers under the indenture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at the request or direction of any of the holders, unless the holders shall have offered to the trustee reasonable security or indemnity. Subject to certain provisions, including those requiring security or indemnification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We will be required to furnish to the trustee under the indenture annually a statement as to the performance by us of our obligations under that indenture and as to any default in our performance.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Subject to certain exceptions, the terms of the indenture or the debt securities may be amended or supplemented by us and the trustee with the written consent of the holders of at least a majority in principal amount of the outstanding debt securities of each series affected by the amendment with each series voting as a separate class. Without the consent of any holder of the debt securities, we and the trustee may amend the terms of the indenture or the debt securities to:</w:t>
      </w:r>
    </w:p>
    <w:p>
      <w:pPr>
        <w:spacing w:after="0" w:line="75" w:lineRule="exact"/>
        <w:rPr>
          <w:sz w:val="20"/>
          <w:szCs w:val="20"/>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defect or inconsistency;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assumption of our obligations to holders of the debt securities by a successor corporation;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uncertificated debt securities in addition to certificated debt securities;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does not adversely affect the rights of any holder of the debt securities in any material respect;</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change or eliminate any other provisions of the indenture in respect of one or more series of debt securities if the change would not (i) apply to any security of any series created prior to the execution of a supplemental indenture and entitled to the benefit of the provision, and (ii) modify the rights of the holder of any security or would become effective only when there is no outstanding security of any series created prior to the execution of the supplemental indenture and entitled to the benefits of the provisions proposed to be changed;</w:t>
      </w:r>
    </w:p>
    <w:p>
      <w:pPr>
        <w:spacing w:after="0" w:line="7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any additional series of debt securities; or</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any requirement of the SEC in connection with the qualification of the indenture under the Trust Indenture Act.</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However, holders of each series of debt securities affected by a modification must consent to modifications that:</w:t>
      </w:r>
    </w:p>
    <w:p>
      <w:pPr>
        <w:spacing w:after="0" w:line="117" w:lineRule="exact"/>
        <w:rPr>
          <w:sz w:val="20"/>
          <w:szCs w:val="20"/>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the debt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or change the time for payment of interest;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fixed maturity date;</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date on which any debt security may be subject to redemption or repurchase, or reduce the redemption or repurchase price;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debt security payable in currency other than that stated in the debt security;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existing default or event of default and the resulting consequences;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right of any holder to receive payment of principal or interest on any debt security;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of any holder to institute suit for the enforcement of any payment due;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foregoing amendment provisions which require each holder’s consent.</w:t>
      </w:r>
    </w:p>
    <w:p>
      <w:pPr>
        <w:spacing w:after="0" w:line="11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Any existing default may be waived with the consent of the holders of at least a majority in principal amount of the then outstanding debt securities of the series affected. The consent of the holders of debt securities is not necessary to approve the particular form of any proposed amendment to any indenture. It is sufficient if any consent approves the substance of the proposed amendment.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Except as permitted in certain circumstances as discussed under “Consolidation, Merger or Sale,” the indenture will require us to do or cause to be done all things necessary to preserve and keep in full force and effect our existence, rights (declaration and statutory) and franchises; provided, however, that we shall not be required to preserve any right or franchise if we determine that the right or franchise is no longer desirable in the conduct of our business and that the loss of the right or franchise is not disadvantageous in any material respect to the holders of the debt securities.</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indenture will require us to pay or discharge or cause to be paid or discharged, before payment becomes delinquent, all taxes, assessments and governmental charges levied or imposed upon us, except any tax, assessment, charge or claim the amount or applicability of which is being contested in good faith.</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Reference is made to the indenture and any applicable prospectus supplement for information with respect to any additional covenants specific to a particular series of debt securities.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Except as otherwise set forth in any applicable prospectus supplement, we may terminate our obligations under the debt securities of any series, and the corresponding obligations under the indenture when:</w:t>
      </w:r>
    </w:p>
    <w:p>
      <w:pPr>
        <w:spacing w:after="0" w:line="54" w:lineRule="exact"/>
        <w:rPr>
          <w:sz w:val="20"/>
          <w:szCs w:val="20"/>
          <w:color w:val="auto"/>
        </w:rPr>
      </w:pPr>
    </w:p>
    <w:p>
      <w:pPr>
        <w:jc w:val="both"/>
        <w:ind w:left="1000" w:right="319" w:hanging="34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deposited with the trustee funds or United States government obligations in an amount sufficient to pay at maturity all outstanding debt securities of the series, including interest other than destroyed, lost or stolen debt securities of the series which have not been replaced or paid;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debt securities of the series have been delivered (other than destroyed, lost or stolen debt securities of the series which have not been replaced or paid) to the trustee for cancellation;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debt securities of any series have become due and payable;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all other sums payable under the indenture.</w:t>
      </w:r>
    </w:p>
    <w:p>
      <w:pPr>
        <w:spacing w:after="0" w:line="117"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In addition, we will have the option to terminate substantially all our obligations under the debt securities of any series and the corresponding obligations under the indenture, and we may exercise that option if:</w:t>
      </w:r>
    </w:p>
    <w:p>
      <w:pPr>
        <w:spacing w:after="0" w:line="54" w:lineRule="exact"/>
        <w:rPr>
          <w:sz w:val="20"/>
          <w:szCs w:val="20"/>
          <w:color w:val="auto"/>
        </w:rPr>
      </w:pPr>
    </w:p>
    <w:p>
      <w:pPr>
        <w:jc w:val="both"/>
        <w:ind w:left="1000" w:right="319" w:hanging="348"/>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deposited with the trustee, in trust an amount of cash or United States government obligations sufficient to pay all outstanding principal of and interest on the then outstanding debt securities of the series at maturity or upon their redemption, as the case may be;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 will not result in a breach of, or constitute a default under, the indenture;</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continue on the date of deposit and no event of default as a result of a bankruptcy or event which with the giving of notice or the lapse of time would become a bankruptcy event of default shall have occurred and be continuing on the 91st day after that date;</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 legal opinion that we have received from, or there has been published by, the United States Internal Revenue Service a ruling, or there has been a change in tax law, in either case to the effect that the holders of the debt securities of the series will not recognize income, gain or loss for Federal income tax purposes as a result of our exercise of our option and shall be subject to Federal income tax on the same amounts and in the same manner and at the same times as would have been the case if we did not exercise our option; or</w:t>
      </w:r>
    </w:p>
    <w:p>
      <w:pPr>
        <w:spacing w:after="0" w:line="7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conditions are met.</w:t>
      </w:r>
    </w:p>
    <w:p>
      <w:pPr>
        <w:spacing w:after="0" w:line="11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will have the option to be released from our obligations with respect to the covenants to deliver reports required to be filed with the SEC and an annual compliance certificate, and to make timely payments of taxes (including covenants described in any applicable prospectus supplement), and any event of default occurring because of a default with respect to the covenants as they related to any series of debt securities, and we may exercise that option if:</w:t>
      </w:r>
    </w:p>
    <w:p>
      <w:pPr>
        <w:spacing w:after="0" w:line="75" w:lineRule="exact"/>
        <w:rPr>
          <w:sz w:val="20"/>
          <w:szCs w:val="20"/>
          <w:color w:val="auto"/>
        </w:rPr>
      </w:pPr>
    </w:p>
    <w:p>
      <w:pPr>
        <w:jc w:val="both"/>
        <w:ind w:left="1000" w:right="31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deposit or cause to be deposited with the trustee in trust an amount of cash or United States government obligations sufficient to pay and discharge when due the entire unpaid principal of and interest on all outstanding debt securities of any series;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 will not result in a breach of, or constitute a default under, the indenture;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1"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on the date of deposit and no event of default as a result of a bankruptcy or event which with the giving of notice or the lapse of time would become a bankruptcy event of default shall have occurred and be continuing on the 91st day after that date;</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 legal opinion that the holders of the debt securities of the series will not recognize income, gain or loss for Federal income tax purposes as a result of our exercise of our option and shall be subject to Federal income tax on the same amounts and in the same manner and at the same times as would have been the case if we did not exercise our option; and</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conditions are met.</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Upon satisfaction of the applicable conditions, our obligations under the indenture with respect to the debt securities of the series, other than with respect to the covenants and events of default referred to above, shall remain in full force and effect.</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Notwithstanding the foregoing, no discharge or defeasance described above shall affect the following obligations to or rights of the holders of any series of debt securities:</w:t>
      </w:r>
    </w:p>
    <w:p>
      <w:pPr>
        <w:spacing w:after="0" w:line="54" w:lineRule="exact"/>
        <w:rPr>
          <w:sz w:val="20"/>
          <w:szCs w:val="20"/>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registration of transfer and exchange of debt securities of the series;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substitution of mutilated, defaced, destroyed, lost or stolen debt securities of the series;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holders of debt securities of the series to receive payments of principal thereof and premium, if any, and interest thereon when due;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obligations, duties and immunities of the trustee;</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holders of debt securities of the series as beneficiaries with respect to property deposited with the trustee and payable to all or any of them;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to maintain an office or agency in respect of the debt securities of the series.</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expect payment of principal, premium, if any, and any interest on the debt securities to be payable, and the exchange and the transfer of debt securities will be registrable, at the office of the trustee or at any other office or agency we maintain for that purpose. We expect to issue debt securities in denominations of U.S. $1,000 or integral multiples of $1,000. No service charge will be made for any registration of transfer or exchange of the debt securities, but we may require a payment to cover any tax or other governmental charges payable in connection with an exchange or transfer.</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 holder of debt securities may transfer or exchange those debt securities in accordance with the indenture. The registrar for the debt securities may require a holder, among other things, to furnish appropriate endorsements and transfer documents, and to pay any taxes and fees required by law or permitted by the indenture. The registrar is not required to transfer or exchange any debt security selected for redemption or any debt security for a period of 15 days before a selection of debt security to be redeemed. The registered holder of a debt security may be treated as the owner of the security for all purposes.</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will name in any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Replacement Securities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Any mutilated certificate representing a debt security or a certificate representing a debt security with a mutilated coupon will be replaced by us at the expense of the holder upon surrender of the certificate to the trustee. Certificates representing debt securities or coupons that become destroyed, stolen or lost will be replaced by us at the expense of the holder upon delivery to us and the trustee of evidence of any destruction, loss or theft satisfactory to us and the trustee, provided that neither we nor the trustee has been notified that the certificate or coupon has been acquired by a bona fide purchaser. In the case of any coupon which becomes destroyed, stolen or lost, the coupon will be replaced by issuance of a new certificate representing the debt security in exchange for the certificate representing the debt security to which the coupon appertains. In the case of a destroyed, lost or stolen certificate representing the debt security or coupon, an indemnity bond satisfactory to the trustee and us may be required at the expense of the holder of the debt security before a replacement certificate will be issued.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will identify in any applicable prospectus supplement relating to any series of debt securities the trustee with respect to the series. The indenture and the Trust Indenture Act contain certain limitations on the rights of the trustee, should it become our creditor, to obtain payment of claims in certain cases, or to realize on certain property received in respect of any the claim, as security or otherwise. The trustee and its affiliates may engage in, and will be permitted to continue to engage in, other transactions with us and our affiliates, but if the trustee acquires any conflicting interest, as defined in the Trust Indenture Act, it must eliminate the conflict or resign.</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holders of a majority in principal amount of the then outstanding debt securities of any series will have the right to direct the time, method and place of conducting any proceeding for exercising any remedy available to the trustee. The Trust Indenture Act and the indenture provide that in case an event of default occurs is continuing, the trustee will be required, in the exercise of its rights and powers, to use the degree of care and skill of a prudent man in the conduct of his own affairs. Subject to those provisions, the trustee will be under no obligation to exercise any of its rights or powers under the indenture at the request of any of the holders of the debt securities, unless they have offered to the trustee indemnity satisfactory to it.</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Global Debt Securities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Unless we indicate otherwise in any applicable prospectus supplement, the following provisions will apply to all debt securities.</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debt securities of a series may be issued in whole or in part in the form of one or more global securities that will be deposited with a depositary that we will identify in any applicable prospectus supplement. Each global security will be deposited with the depositary and will bear a legend regarding any related restrictions or other matters as may be provided for pursuant to the applicable indenture.</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Unless any applicable prospectus supplement states otherwise, no global security may be transferred to, or registered or exchanged for, debt securities registered in the name of, any person or entity other than the depositary, unless:</w:t>
      </w:r>
    </w:p>
    <w:p>
      <w:pPr>
        <w:spacing w:after="0" w:line="54" w:lineRule="exact"/>
        <w:rPr>
          <w:sz w:val="20"/>
          <w:szCs w:val="20"/>
          <w:color w:val="auto"/>
        </w:rPr>
      </w:pPr>
    </w:p>
    <w:p>
      <w:pPr>
        <w:ind w:left="1000" w:right="29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has notified us that it is unwilling or unable or is no longer qualified to continue as depositary;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order the trustee that the global security shall be so transferable, registrable and exchangeable, and the transfers shall be registrable;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circumstances, if any, as may be described in any applicable prospectus supplement.</w:t>
      </w:r>
    </w:p>
    <w:p>
      <w:pPr>
        <w:spacing w:after="0" w:line="11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All debt securities issued in exchange for a global security or any portion of a global security will be registered in those names as the depositary may direct. The specific terms of the depositary arrangement with respect to any portion of a series of debt securities to be represented by a global security will be described in any applicable prospectus supplement.</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Debt securities which are to be represented by a global security to be deposited with or on behalf of a depositary will be represented by a global security registered in the name of the depositary or its nominee. Upon the issuance of the global security, and the deposit of the global security with the depositary, the depositary will credit, on its book-entry registration and transfer system, the respective principal amounts of the debt securities represented by the global security to the accounts of institutions that have accounts with the depositary or its nominee, or the Participants. The accounts to be credited will be designated by the underwriters or agents of the debt securities or by us, if the debt securities are offered and sold directly by us.</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limited to Participants or persons that may hold interests through Participants. Ownership of beneficial interests in a global security will be shown on, and the transfer of that ownership interest will be effected only through, records maintained by the depositary or its nominee for the global security or by Participants or persons that hold through Participants.</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laws of some jurisdictions require that certain purchasers of securities take physical delivery of the securities in certificated form. Those laws may impair the ability to transfer beneficial interests in global securities.</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global security, the depositary or the nominee, as the case may be, will be considered the sole owner or holder of the debt securities represented by the global security for all purposes under the indenture. Payment of principal of, and premium and interest, if any, on debt securities will be made to the depositary or its nominee as the registered owner or bearer as the case may be of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global security representing the debt securities. Each person owning a beneficial interest in a global security must rely on the procedures of the depositary and, if the person is not a Participant, on the procedures of the Participant through which the person owns its interest, to exercise any rights of a holder under the indenture. If we request any action of holders or if an owner of a beneficial interest in a global security desires to give any notice or take any action a holder is entitled to give or take under the indenture, the depositary will authorize the Participants to give the notice or take the action, and Participants would authorize beneficial owners owning through the Participants to give the notice or take the action or would otherwise act upon the instructions of beneficial owners owning through them.</w:t>
      </w:r>
    </w:p>
    <w:p>
      <w:pPr>
        <w:spacing w:after="0" w:line="8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rights of any holder of a debt security to receive payment of principal and premium of, if any, and interest, on or after the respective due dates expressed or provided for in the debt security, or to institute suit for the enforcement of any payment on or after the applicable date, shall not be impaired or affected without the consent of the holders.</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Neither we, the trustee, any paying agent nor the security registrar for a debt security will have any responsibility or liability for any aspect of the records relating to or payments made on account of beneficial ownership interests of the global security for the debt security or for maintaining, supervising or receiving any records relating to the beneficial ownership interests.</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expect that the depositary or its nominee, upon receipt of any payment of principal, premium or interest, will credit immediately Participants’ accounts with payments in amounts proportionate to their respective beneficial interests in the principal amount of the global security as shown on the records of the depositary or its nominee. We also expect that payments by Participants to owners of beneficial interests in a global security held through the Participants will be governed by standing instructions and customary practices, as is now the case with securities held for the accounts of customers in bearer form or registered in “street name,” and will be the responsibility of the Participants.</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If the depositary for a global security representing debt securities of a particular series is at any time unwilling or unable to continue as depositary and we do not appoint a successor depositary within 90 days, we will issue debt securities of the series in definitive form in exchange for the global security. In addition, we may at any time and in our sole discretion determine not to have the debt securities of a particular series represented by one or more global securities and, in that event, will issue debt securities of the series in definitive form in exchange for all of the global securities representing debt securities of the series.</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Unless we otherwise indicate in any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6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any applicable prospectus supplement, we will make interest payments by check that we will mail to the holder or by wire transfer to certain holders. Unless we otherwise indicate in any applicable prospectus supplement, we will designate the corporate trust office of the trustee as our sole paying agent for payments with respect to debt securities of each series. We will name in any applicable prospectus supplement any other paying agents that we initially designate for the debt securities of a particular series. We will maintain a paying agent in each place of payment for the debt securities of a particular series.</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 except to the extent that the Trust Indenture Act is applicable.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OTHER SECURITIES</w:t>
      </w:r>
    </w:p>
    <w:p>
      <w:pPr>
        <w:spacing w:after="0" w:line="121"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We will set forth in any applicable prospectus supplement a description of any warrants or units issued by us that may be offered and sold pursuant to this prospectus.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Information about selling stockholders, where applicable, will be set forth in a prospectus supplement, in a post-effective amendment or in filings we make with the SEC under the Exchange Act that are incorporated by reference.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We or any of the selling stockholders may sell the securities offered by this prospectus in any one or more of the following ways from time to time pursuant to:</w:t>
      </w:r>
    </w:p>
    <w:p>
      <w:pPr>
        <w:spacing w:after="0" w:line="54" w:lineRule="exact"/>
        <w:rPr>
          <w:sz w:val="20"/>
          <w:szCs w:val="20"/>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underwritten public offerings;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these methods;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or dealers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and/or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securities may be distributed from time to time in one or more transactions:</w:t>
      </w:r>
    </w:p>
    <w:p>
      <w:pPr>
        <w:spacing w:after="0" w:line="117" w:lineRule="exact"/>
        <w:rPr>
          <w:sz w:val="20"/>
          <w:szCs w:val="20"/>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fixed prices, which may be changed;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17"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We will identify the specific plan of distribution, including any underwriters, dealers, agents or direct purchasers and their compensation in any applicable prospectus supplement.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K&amp;L Gates LLP, Irvine, California, will pass upon certain legal matters relating to the issuance and sale of the securities offered hereby on our behalf. Additional legal matters may be passed upon for us, the selling stockholders or any underwriters, dealers or agents, by counsel that we will name in the applicable prospectus supplement.</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of ACM Research, Inc. at December 31, 2023, and for the year then ended, appearing in ACM Research, Inc.’s Annual Report on Form 10-K for the year ended December 31, 2023, and the effectiveness of ACM Research, Inc.’s internal control over financial reporting as of December 31, 2023, have been audited by Ernst &amp; Young Hua Ming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ACM Research, Inc. for the year ended December 31, 2022, appearing in ACM Research, Inc.’s Annual Report on Form 10-K for the year ended December 31, 2023, have been audited by Armanino LLP, ACM Research, Inc.’s prior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ACM Research, Inc. for the year ended December 31, 2021, appearing in ACM Research, Inc.’s Annual Report on Form 10-K for the year ended December 31, 2023, have been audited by BDO China Shu Lun Pan Certified Public Accountants LLP, ACM Research, Inc.’s prior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file reports, proxy statements and other information with the SEC. The SEC maintains a website at www.sec.gov that contains reports, proxy and information statements and other information about issuers, such as us, who file electronically with the SEC.</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website address is www.acmrcsh.com. The information on our website, however, is not, and should not be deemed to be, a part of this prospectus or any prospectus supplement. We have included our website address as an inactive textual reference only. Through our website, we make available, free of charge, annual, quarterly and current reports, proxy statements, along with amendments thereto, and other information as soon as reasonably practicable after they are electronically filed with, or furnished to, the SEC.</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incorporate by reference our documents listed below and any future filings made by us with the SEC under Section 13(a), 13(c), 14 or 15(d) of the Exchange Act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Compensation Committee report and performance graph or any information furnished pursuant to Item 2.02 or 7.01 of Form 8-K or related exhibits furnished pursuant to Item 9.01 of Form 8-K.</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that have previously been filed with the SEC:</w:t>
      </w:r>
    </w:p>
    <w:p>
      <w:pPr>
        <w:spacing w:after="0" w:line="54" w:lineRule="exact"/>
        <w:rPr>
          <w:sz w:val="20"/>
          <w:szCs w:val="20"/>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with the SEC on February 28, 2024;</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w:t>
      </w:r>
      <w:hyperlink r:id="rId38">
        <w:r>
          <w:rPr>
            <w:rFonts w:ascii="Times New Roman" w:cs="Times New Roman" w:eastAsia="Times New Roman" w:hAnsi="Times New Roman"/>
            <w:sz w:val="18"/>
            <w:szCs w:val="18"/>
            <w:u w:val="single" w:color="auto"/>
            <w:color w:val="0000EE"/>
          </w:rPr>
          <w:t>December 31,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from our Definitive Proxy Statement on Schedule 14A, filed with the SEC on May 1, 2023, as amended on May 23, 2023;</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39">
        <w:r>
          <w:rPr>
            <w:rFonts w:ascii="Times New Roman" w:cs="Times New Roman" w:eastAsia="Times New Roman" w:hAnsi="Times New Roman"/>
            <w:sz w:val="18"/>
            <w:szCs w:val="18"/>
            <w:u w:val="single" w:color="auto"/>
            <w:color w:val="0000EE"/>
          </w:rPr>
          <w:t xml:space="preserve">January 5, 2024, </w:t>
        </w:r>
      </w:hyperlink>
      <w:hyperlink r:id="rId40">
        <w:r>
          <w:rPr>
            <w:rFonts w:ascii="Times New Roman" w:cs="Times New Roman" w:eastAsia="Times New Roman" w:hAnsi="Times New Roman"/>
            <w:sz w:val="18"/>
            <w:szCs w:val="18"/>
            <w:u w:val="single" w:color="auto"/>
            <w:color w:val="auto"/>
          </w:rPr>
          <w:t xml:space="preserve">January </w:t>
        </w:r>
        <w:r>
          <w:rPr>
            <w:rFonts w:ascii="Times New Roman" w:cs="Times New Roman" w:eastAsia="Times New Roman" w:hAnsi="Times New Roman"/>
            <w:sz w:val="18"/>
            <w:szCs w:val="18"/>
            <w:u w:val="single" w:color="auto"/>
            <w:color w:val="0000EE"/>
          </w:rPr>
          <w:t>25, 2024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1">
        <w:r>
          <w:rPr>
            <w:rFonts w:ascii="Times New Roman" w:cs="Times New Roman" w:eastAsia="Times New Roman" w:hAnsi="Times New Roman"/>
            <w:sz w:val="18"/>
            <w:szCs w:val="18"/>
            <w:u w:val="single" w:color="auto"/>
            <w:color w:val="0000EE"/>
          </w:rPr>
          <w:t>February 2, 2024;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p>
    <w:p>
      <w:pPr>
        <w:spacing w:after="0" w:line="53" w:lineRule="exact"/>
        <w:rPr>
          <w:rFonts w:ascii="Times New Roman" w:cs="Times New Roman" w:eastAsia="Times New Roman" w:hAnsi="Times New Roman"/>
          <w:sz w:val="18"/>
          <w:szCs w:val="18"/>
          <w:color w:val="0000EE"/>
        </w:rPr>
      </w:pPr>
    </w:p>
    <w:p>
      <w:pPr>
        <w:jc w:val="both"/>
        <w:ind w:left="1000" w:right="319" w:hanging="348"/>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contained in our Registration Statement on Form 8-A (File No. 001-38273) filed with SEC on </w:t>
      </w:r>
      <w:hyperlink r:id="rId42">
        <w:r>
          <w:rPr>
            <w:rFonts w:ascii="Times New Roman" w:cs="Times New Roman" w:eastAsia="Times New Roman" w:hAnsi="Times New Roman"/>
            <w:sz w:val="18"/>
            <w:szCs w:val="18"/>
            <w:u w:val="single" w:color="auto"/>
            <w:color w:val="0000EE"/>
          </w:rPr>
          <w:t>November 1, 2017,</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including any amendment or report filed for the purpose of updating such description.</w:t>
      </w:r>
    </w:p>
    <w:p>
      <w:pPr>
        <w:spacing w:after="0" w:line="68" w:lineRule="exact"/>
        <w:rPr>
          <w:rFonts w:ascii="Times New Roman" w:cs="Times New Roman" w:eastAsia="Times New Roman" w:hAnsi="Times New Roman"/>
          <w:sz w:val="18"/>
          <w:szCs w:val="18"/>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75" w:lineRule="exact"/>
        <w:rPr>
          <w:rFonts w:ascii="Times New Roman" w:cs="Times New Roman" w:eastAsia="Times New Roman" w:hAnsi="Times New Roman"/>
          <w:sz w:val="18"/>
          <w:szCs w:val="18"/>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You may request a free copy of any of the documents incorporated by reference in this prospectus by writing or telephoning us at the following address:</w:t>
      </w:r>
    </w:p>
    <w:p>
      <w:pPr>
        <w:spacing w:after="0" w:line="108"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7"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42307 Osgood Road, Suite I</w:t>
      </w:r>
    </w:p>
    <w:p>
      <w:pPr>
        <w:spacing w:after="0" w:line="9"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Fremont, California</w:t>
      </w:r>
    </w:p>
    <w:p>
      <w:pPr>
        <w:spacing w:after="0" w:line="9" w:lineRule="exact"/>
        <w:rPr>
          <w:rFonts w:ascii="Times New Roman" w:cs="Times New Roman" w:eastAsia="Times New Roman" w:hAnsi="Times New Roman"/>
          <w:sz w:val="18"/>
          <w:szCs w:val="18"/>
          <w:color w:val="auto"/>
        </w:rPr>
      </w:pPr>
    </w:p>
    <w:p>
      <w:pPr>
        <w:ind w:left="4360" w:hanging="441"/>
        <w:spacing w:after="0"/>
        <w:tabs>
          <w:tab w:leader="none" w:pos="4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445-3700</w:t>
      </w:r>
    </w:p>
    <w:p>
      <w:pPr>
        <w:spacing w:after="0" w:line="9" w:lineRule="exact"/>
        <w:rPr>
          <w:rFonts w:ascii="Times New Roman" w:cs="Times New Roman" w:eastAsia="Times New Roman" w:hAnsi="Times New Roman"/>
          <w:sz w:val="18"/>
          <w:szCs w:val="18"/>
          <w:color w:val="auto"/>
        </w:rPr>
      </w:pPr>
    </w:p>
    <w:p>
      <w:pPr>
        <w:ind w:left="3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Investor Relations</w:t>
      </w:r>
    </w:p>
    <w:p>
      <w:pPr>
        <w:spacing w:after="0" w:line="99" w:lineRule="exact"/>
        <w:rPr>
          <w:rFonts w:ascii="Times New Roman" w:cs="Times New Roman" w:eastAsia="Times New Roman" w:hAnsi="Times New Roman"/>
          <w:sz w:val="18"/>
          <w:szCs w:val="18"/>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unless those exhibits have been specifically incorporated by reference in this prospectus or any accompanying prospectus supplement.</w:t>
      </w:r>
    </w:p>
    <w:p>
      <w:pPr>
        <w:spacing w:after="0" w:line="16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14.</w:t>
        <w:tab/>
        <w:t>Other Expenses of Issuance and Distribution</w:t>
      </w:r>
    </w:p>
    <w:p>
      <w:pPr>
        <w:spacing w:after="0" w:line="121"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are estimates of the expenses that the registrant may incur in connection with the offering and sale of the securities being registered hereby. All such expenses are to be paid by the registrant.</w:t>
      </w:r>
    </w:p>
    <w:p>
      <w:pPr>
        <w:spacing w:after="0" w:line="112" w:lineRule="exact"/>
        <w:rPr>
          <w:sz w:val="20"/>
          <w:szCs w:val="20"/>
          <w:color w:val="auto"/>
        </w:rPr>
      </w:pPr>
    </w:p>
    <w:tbl>
      <w:tblPr>
        <w:tblLayout w:type="fixed"/>
        <w:tblInd w:w="300" w:type="dxa"/>
        <w:tblCellMar>
          <w:top w:w="0" w:type="dxa"/>
          <w:left w:w="0" w:type="dxa"/>
          <w:bottom w:w="0" w:type="dxa"/>
          <w:right w:w="0" w:type="dxa"/>
        </w:tblCellMar>
      </w:tblPr>
      <w:tr>
        <w:trPr>
          <w:trHeight w:val="358"/>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120" w:type="dxa"/>
            <w:vAlign w:val="bottom"/>
            <w:tcBorders>
              <w:bottom w:val="single" w:sz="8" w:color="CCEEFF"/>
            </w:tcBorders>
            <w:shd w:val="clear" w:color="auto" w:fill="CCEEFF"/>
          </w:tcPr>
          <w:p>
            <w:pPr>
              <w:ind w:left="2960"/>
              <w:spacing w:after="0"/>
              <w:rPr>
                <w:sz w:val="20"/>
                <w:szCs w:val="20"/>
                <w:color w:val="auto"/>
              </w:rPr>
            </w:pPr>
            <w:r>
              <w:rPr>
                <w:rFonts w:ascii="Times New Roman" w:cs="Times New Roman" w:eastAsia="Times New Roman" w:hAnsi="Times New Roman"/>
                <w:sz w:val="13"/>
                <w:szCs w:val="13"/>
                <w:color w:val="auto"/>
                <w:w w:val="92"/>
              </w:rPr>
              <w:t>(1)</w:t>
            </w:r>
          </w:p>
        </w:tc>
      </w:tr>
      <w:tr>
        <w:trPr>
          <w:trHeight w:val="27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312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300" w:type="dxa"/>
            <w:vAlign w:val="bottom"/>
          </w:tcPr>
          <w:p>
            <w:pPr>
              <w:spacing w:after="0"/>
              <w:rPr>
                <w:sz w:val="4"/>
                <w:szCs w:val="4"/>
                <w:color w:val="auto"/>
              </w:rPr>
            </w:pPr>
          </w:p>
        </w:tc>
        <w:tc>
          <w:tcPr>
            <w:tcW w:w="3120" w:type="dxa"/>
            <w:vAlign w:val="bottom"/>
          </w:tcPr>
          <w:p>
            <w:pPr>
              <w:spacing w:after="0"/>
              <w:rPr>
                <w:sz w:val="4"/>
                <w:szCs w:val="4"/>
                <w:color w:val="auto"/>
              </w:rPr>
            </w:pPr>
          </w:p>
        </w:tc>
      </w:tr>
      <w:tr>
        <w:trPr>
          <w:trHeight w:val="304"/>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120" w:type="dxa"/>
            <w:vAlign w:val="bottom"/>
            <w:tcBorders>
              <w:bottom w:val="single" w:sz="8" w:color="CCEEFF"/>
            </w:tcBorders>
            <w:shd w:val="clear" w:color="auto" w:fill="CCEEFF"/>
          </w:tcPr>
          <w:p>
            <w:pPr>
              <w:ind w:left="296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Exchange listing fee</w:t>
            </w:r>
          </w:p>
        </w:tc>
        <w:tc>
          <w:tcPr>
            <w:tcW w:w="312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300" w:type="dxa"/>
            <w:vAlign w:val="bottom"/>
          </w:tcPr>
          <w:p>
            <w:pPr>
              <w:spacing w:after="0"/>
              <w:rPr>
                <w:sz w:val="4"/>
                <w:szCs w:val="4"/>
                <w:color w:val="auto"/>
              </w:rPr>
            </w:pPr>
          </w:p>
        </w:tc>
        <w:tc>
          <w:tcPr>
            <w:tcW w:w="3120" w:type="dxa"/>
            <w:vAlign w:val="bottom"/>
          </w:tcPr>
          <w:p>
            <w:pPr>
              <w:spacing w:after="0"/>
              <w:rPr>
                <w:sz w:val="4"/>
                <w:szCs w:val="4"/>
                <w:color w:val="auto"/>
              </w:rPr>
            </w:pPr>
          </w:p>
        </w:tc>
      </w:tr>
      <w:tr>
        <w:trPr>
          <w:trHeight w:val="304"/>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120" w:type="dxa"/>
            <w:vAlign w:val="bottom"/>
            <w:tcBorders>
              <w:bottom w:val="single" w:sz="8" w:color="CCEEFF"/>
            </w:tcBorders>
            <w:shd w:val="clear" w:color="auto" w:fill="CCEEFF"/>
          </w:tcPr>
          <w:p>
            <w:pPr>
              <w:ind w:left="296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312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300" w:type="dxa"/>
            <w:vAlign w:val="bottom"/>
          </w:tcPr>
          <w:p>
            <w:pPr>
              <w:spacing w:after="0"/>
              <w:rPr>
                <w:sz w:val="4"/>
                <w:szCs w:val="4"/>
                <w:color w:val="auto"/>
              </w:rPr>
            </w:pPr>
          </w:p>
        </w:tc>
        <w:tc>
          <w:tcPr>
            <w:tcW w:w="3120" w:type="dxa"/>
            <w:vAlign w:val="bottom"/>
          </w:tcPr>
          <w:p>
            <w:pPr>
              <w:spacing w:after="0"/>
              <w:rPr>
                <w:sz w:val="4"/>
                <w:szCs w:val="4"/>
                <w:color w:val="auto"/>
              </w:rPr>
            </w:pPr>
          </w:p>
        </w:tc>
      </w:tr>
      <w:tr>
        <w:trPr>
          <w:trHeight w:val="304"/>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fees and expenses</w:t>
            </w:r>
          </w:p>
        </w:tc>
        <w:tc>
          <w:tcPr>
            <w:tcW w:w="3120" w:type="dxa"/>
            <w:vAlign w:val="bottom"/>
            <w:tcBorders>
              <w:bottom w:val="single" w:sz="8" w:color="CCEEFF"/>
            </w:tcBorders>
            <w:shd w:val="clear" w:color="auto" w:fill="CCEEFF"/>
          </w:tcPr>
          <w:p>
            <w:pPr>
              <w:ind w:left="296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Trustee fees and expenses</w:t>
            </w:r>
          </w:p>
        </w:tc>
        <w:tc>
          <w:tcPr>
            <w:tcW w:w="312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300" w:type="dxa"/>
            <w:vAlign w:val="bottom"/>
          </w:tcPr>
          <w:p>
            <w:pPr>
              <w:spacing w:after="0"/>
              <w:rPr>
                <w:sz w:val="4"/>
                <w:szCs w:val="4"/>
                <w:color w:val="auto"/>
              </w:rPr>
            </w:pPr>
          </w:p>
        </w:tc>
        <w:tc>
          <w:tcPr>
            <w:tcW w:w="3120" w:type="dxa"/>
            <w:vAlign w:val="bottom"/>
          </w:tcPr>
          <w:p>
            <w:pPr>
              <w:spacing w:after="0"/>
              <w:rPr>
                <w:sz w:val="4"/>
                <w:szCs w:val="4"/>
                <w:color w:val="auto"/>
              </w:rPr>
            </w:pPr>
          </w:p>
        </w:tc>
      </w:tr>
      <w:tr>
        <w:trPr>
          <w:trHeight w:val="304"/>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agent fees and expenses</w:t>
            </w:r>
          </w:p>
        </w:tc>
        <w:tc>
          <w:tcPr>
            <w:tcW w:w="3120" w:type="dxa"/>
            <w:vAlign w:val="bottom"/>
            <w:tcBorders>
              <w:bottom w:val="single" w:sz="8" w:color="CCEEFF"/>
            </w:tcBorders>
            <w:shd w:val="clear" w:color="auto" w:fill="CCEEFF"/>
          </w:tcPr>
          <w:p>
            <w:pPr>
              <w:ind w:left="296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312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300" w:type="dxa"/>
            <w:vAlign w:val="bottom"/>
          </w:tcPr>
          <w:p>
            <w:pPr>
              <w:spacing w:after="0"/>
              <w:rPr>
                <w:sz w:val="4"/>
                <w:szCs w:val="4"/>
                <w:color w:val="auto"/>
              </w:rPr>
            </w:pPr>
          </w:p>
        </w:tc>
        <w:tc>
          <w:tcPr>
            <w:tcW w:w="3120" w:type="dxa"/>
            <w:vAlign w:val="bottom"/>
          </w:tcPr>
          <w:p>
            <w:pPr>
              <w:spacing w:after="0"/>
              <w:rPr>
                <w:sz w:val="4"/>
                <w:szCs w:val="4"/>
                <w:color w:val="auto"/>
              </w:rPr>
            </w:pPr>
          </w:p>
        </w:tc>
      </w:tr>
      <w:tr>
        <w:trPr>
          <w:trHeight w:val="27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120" w:type="dxa"/>
            <w:vAlign w:val="bottom"/>
            <w:shd w:val="clear" w:color="auto" w:fill="CCEEFF"/>
          </w:tcPr>
          <w:p>
            <w:pPr>
              <w:ind w:left="296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300" w:type="dxa"/>
            <w:vAlign w:val="bottom"/>
            <w:shd w:val="clear" w:color="auto" w:fill="CCEEFF"/>
          </w:tcPr>
          <w:p>
            <w:pPr>
              <w:spacing w:after="0"/>
              <w:rPr>
                <w:sz w:val="4"/>
                <w:szCs w:val="4"/>
                <w:color w:val="auto"/>
              </w:rPr>
            </w:pPr>
          </w:p>
        </w:tc>
        <w:tc>
          <w:tcPr>
            <w:tcW w:w="31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319" w:hanging="348"/>
        <w:spacing w:after="0" w:line="261"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Rules 456(b) and 457(r) under the Securities Act of 1933, as amended, the SEC registration fee will be paid at the time of any particular offering of securities under the registration statement, and is therefore not currently determinable.</w:t>
      </w:r>
    </w:p>
    <w:p>
      <w:pPr>
        <w:spacing w:after="0" w:line="1" w:lineRule="exact"/>
        <w:rPr>
          <w:sz w:val="20"/>
          <w:szCs w:val="20"/>
          <w:color w:val="auto"/>
        </w:rPr>
      </w:pPr>
    </w:p>
    <w:p>
      <w:pPr>
        <w:ind w:left="640" w:right="299" w:hanging="348"/>
        <w:spacing w:after="0" w:line="26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these amounts are based on the securities offered and the number of issuances, they cannot be estimated at this time and will be reflected in the applicable prospectus supplements.</w:t>
      </w:r>
    </w:p>
    <w:p>
      <w:pPr>
        <w:spacing w:after="0" w:line="163"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Sections 145 and 102(b)(7) of the General Corporation Law of the State of Delaware provide that a corporation may indemnify any person made a party to an action, suit or proceeding by reason of the fact that the person is or was a director, officer, employee or agent of the corporation or is or was serving at the request of a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except that, in the case of an action by or in right of the corporation, no indemnification may generally be made in respect of any claim as to which the person is adjudged to be liable to the corporation.</w:t>
      </w:r>
    </w:p>
    <w:p>
      <w:pPr>
        <w:spacing w:after="0" w:line="86"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registrant’s charter contains provisions that eliminate, to the maximum extent permitted by the General Corporation Law of the State of Delaware, the personal liability of the registrant’s directors for monetary damages for breach of their fiduciary duties as directors. The registrant’s bylaws provide that the registrant must indemnify its directors and officers and may indemnify its employees and other agents to the fullest extent permitted by the General Corporation Law of the State of Delaware.</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registrant has entered into indemnification agreements with its directors and executive officers, in addition to the indemnification provided by its bylaws, and intends to enter into indemnification agreements with any new directors and executive officers in the future.</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registrant has purchased and intends to maintain insurance on behalf of any person who is or was a director or officer of the registrant against any loss arising from any claim asserted against the person and incurred by the person in any such capacity, subject to certain exclusions.</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any underwriting agreement the registrant enters into in connection with the offering of securities being registered hereby, the underwriters may agree to indemnify, under certain conditions, the registrant’s directors and officers (as well as certain other persons) against certain liabilities arising in connection with such offering.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3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680" w:type="dxa"/>
            <w:vAlign w:val="bottom"/>
            <w:vMerge w:val="restart"/>
          </w:tcPr>
          <w:p>
            <w:pPr>
              <w:ind w:left="33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7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7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4"/>
                <w:szCs w:val="24"/>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229"/>
        </w:trPr>
        <w:tc>
          <w:tcPr>
            <w:tcW w:w="300" w:type="dxa"/>
            <w:vAlign w:val="bottom"/>
            <w:gridSpan w:val="2"/>
          </w:tcPr>
          <w:p>
            <w:pPr>
              <w:spacing w:after="0"/>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Restated Certificate of Incorporation of ACM Research, Inc. (incorporated herein by reference to</w:t>
            </w:r>
          </w:p>
        </w:tc>
        <w:tc>
          <w:tcPr>
            <w:tcW w:w="0" w:type="dxa"/>
            <w:vAlign w:val="bottom"/>
          </w:tcPr>
          <w:p>
            <w:pPr>
              <w:spacing w:after="0"/>
              <w:rPr>
                <w:sz w:val="1"/>
                <w:szCs w:val="1"/>
                <w:color w:val="auto"/>
              </w:rPr>
            </w:pPr>
          </w:p>
        </w:tc>
      </w:tr>
      <w:tr>
        <w:trPr>
          <w:trHeight w:val="237"/>
        </w:trPr>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Exhibit 3.01 to the Current Report on Form 8-K filed on November 14, 2017)</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00" w:type="dxa"/>
            <w:vAlign w:val="bottom"/>
            <w:gridSpan w:val="2"/>
            <w:shd w:val="clear" w:color="auto" w:fill="CCEEFF"/>
          </w:tcPr>
          <w:p>
            <w:pPr>
              <w:spacing w:after="0"/>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hyperlink>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 of Amendment to Restated Certificate of Incorporation of ACM Research, Inc., dated July 13,</w:t>
            </w:r>
          </w:p>
        </w:tc>
        <w:tc>
          <w:tcPr>
            <w:tcW w:w="0" w:type="dxa"/>
            <w:vAlign w:val="bottom"/>
          </w:tcPr>
          <w:p>
            <w:pPr>
              <w:spacing w:after="0"/>
              <w:rPr>
                <w:sz w:val="1"/>
                <w:szCs w:val="1"/>
                <w:color w:val="auto"/>
              </w:rPr>
            </w:pPr>
          </w:p>
        </w:tc>
      </w:tr>
      <w:tr>
        <w:trPr>
          <w:trHeight w:val="270"/>
        </w:trPr>
        <w:tc>
          <w:tcPr>
            <w:tcW w:w="22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 (incorporated herein by reference to Exhibit 3.01 to the Current Report filed on July 13, 2021)</w:t>
            </w:r>
          </w:p>
        </w:tc>
        <w:tc>
          <w:tcPr>
            <w:tcW w:w="0" w:type="dxa"/>
            <w:vAlign w:val="bottom"/>
          </w:tcPr>
          <w:p>
            <w:pPr>
              <w:spacing w:after="0"/>
              <w:rPr>
                <w:sz w:val="1"/>
                <w:szCs w:val="1"/>
                <w:color w:val="auto"/>
              </w:rPr>
            </w:pPr>
          </w:p>
        </w:tc>
      </w:tr>
      <w:tr>
        <w:trPr>
          <w:trHeight w:val="230"/>
        </w:trPr>
        <w:tc>
          <w:tcPr>
            <w:tcW w:w="300" w:type="dxa"/>
            <w:vAlign w:val="bottom"/>
            <w:gridSpan w:val="2"/>
          </w:tcPr>
          <w:p>
            <w:pPr>
              <w:spacing w:after="0"/>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w:t>
              </w:r>
            </w:hyperlink>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Restated Bylaws of ACM Research, Inc. (incorporated herein by reference to Exhibit 3.02 to the Current</w:t>
            </w:r>
          </w:p>
        </w:tc>
        <w:tc>
          <w:tcPr>
            <w:tcW w:w="0" w:type="dxa"/>
            <w:vAlign w:val="bottom"/>
          </w:tcPr>
          <w:p>
            <w:pPr>
              <w:spacing w:after="0"/>
              <w:rPr>
                <w:sz w:val="1"/>
                <w:szCs w:val="1"/>
                <w:color w:val="auto"/>
              </w:rPr>
            </w:pPr>
          </w:p>
        </w:tc>
      </w:tr>
      <w:tr>
        <w:trPr>
          <w:trHeight w:val="237"/>
        </w:trPr>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Report on Form 8-K filed on November 14, 2017)</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00" w:type="dxa"/>
            <w:vAlign w:val="bottom"/>
            <w:gridSpan w:val="2"/>
            <w:shd w:val="clear" w:color="auto" w:fill="CCEEFF"/>
          </w:tcPr>
          <w:p>
            <w:pPr>
              <w:spacing w:after="0"/>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Class A Common Stock Certificate (incorporated herein by reference to Exhibit 4.01 to the</w:t>
            </w:r>
          </w:p>
        </w:tc>
        <w:tc>
          <w:tcPr>
            <w:tcW w:w="0" w:type="dxa"/>
            <w:vAlign w:val="bottom"/>
          </w:tcPr>
          <w:p>
            <w:pPr>
              <w:spacing w:after="0"/>
              <w:rPr>
                <w:sz w:val="1"/>
                <w:szCs w:val="1"/>
                <w:color w:val="auto"/>
              </w:rPr>
            </w:pPr>
          </w:p>
        </w:tc>
      </w:tr>
      <w:tr>
        <w:trPr>
          <w:trHeight w:val="270"/>
        </w:trPr>
        <w:tc>
          <w:tcPr>
            <w:tcW w:w="22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Registration Statement on Form S-1/A filed on October 18, 2017)</w:t>
            </w:r>
          </w:p>
        </w:tc>
        <w:tc>
          <w:tcPr>
            <w:tcW w:w="0" w:type="dxa"/>
            <w:vAlign w:val="bottom"/>
          </w:tcPr>
          <w:p>
            <w:pPr>
              <w:spacing w:after="0"/>
              <w:rPr>
                <w:sz w:val="1"/>
                <w:szCs w:val="1"/>
                <w:color w:val="auto"/>
              </w:rPr>
            </w:pPr>
          </w:p>
        </w:tc>
      </w:tr>
      <w:tr>
        <w:trPr>
          <w:trHeight w:val="270"/>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3"/>
                <w:szCs w:val="23"/>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Form of Preferred Stock Certificate</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Indenture</w:t>
            </w:r>
          </w:p>
        </w:tc>
        <w:tc>
          <w:tcPr>
            <w:tcW w:w="0" w:type="dxa"/>
            <w:vAlign w:val="bottom"/>
          </w:tcPr>
          <w:p>
            <w:pPr>
              <w:spacing w:after="0"/>
              <w:rPr>
                <w:sz w:val="1"/>
                <w:szCs w:val="1"/>
                <w:color w:val="auto"/>
              </w:rPr>
            </w:pPr>
          </w:p>
        </w:tc>
      </w:tr>
      <w:tr>
        <w:trPr>
          <w:trHeight w:val="75"/>
        </w:trPr>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768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3"/>
                <w:szCs w:val="23"/>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Form of Senior Note</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4"/>
                <w:szCs w:val="24"/>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Subordinated Note</w:t>
            </w:r>
          </w:p>
        </w:tc>
        <w:tc>
          <w:tcPr>
            <w:tcW w:w="0" w:type="dxa"/>
            <w:vAlign w:val="bottom"/>
          </w:tcPr>
          <w:p>
            <w:pPr>
              <w:spacing w:after="0"/>
              <w:rPr>
                <w:sz w:val="1"/>
                <w:szCs w:val="1"/>
                <w:color w:val="auto"/>
              </w:rPr>
            </w:pPr>
          </w:p>
        </w:tc>
      </w:tr>
      <w:tr>
        <w:trPr>
          <w:trHeight w:val="270"/>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3"/>
                <w:szCs w:val="23"/>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Form of Warrant</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4"/>
                <w:szCs w:val="24"/>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Warrant Agreement</w:t>
            </w:r>
          </w:p>
        </w:tc>
        <w:tc>
          <w:tcPr>
            <w:tcW w:w="0" w:type="dxa"/>
            <w:vAlign w:val="bottom"/>
          </w:tcPr>
          <w:p>
            <w:pPr>
              <w:spacing w:after="0"/>
              <w:rPr>
                <w:sz w:val="1"/>
                <w:szCs w:val="1"/>
                <w:color w:val="auto"/>
              </w:rPr>
            </w:pPr>
          </w:p>
        </w:tc>
      </w:tr>
      <w:tr>
        <w:trPr>
          <w:trHeight w:val="270"/>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3"/>
                <w:szCs w:val="23"/>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Form of Unit Agreement</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Opinion of K&amp;L Gates LLP</w:t>
            </w:r>
          </w:p>
        </w:tc>
        <w:tc>
          <w:tcPr>
            <w:tcW w:w="0" w:type="dxa"/>
            <w:vAlign w:val="bottom"/>
          </w:tcPr>
          <w:p>
            <w:pPr>
              <w:spacing w:after="0"/>
              <w:rPr>
                <w:sz w:val="1"/>
                <w:szCs w:val="1"/>
                <w:color w:val="auto"/>
              </w:rPr>
            </w:pPr>
          </w:p>
        </w:tc>
      </w:tr>
      <w:tr>
        <w:trPr>
          <w:trHeight w:val="74"/>
        </w:trPr>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768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Consent of Ernst &amp; Young Hua Ming LLP</w:t>
            </w:r>
          </w:p>
        </w:tc>
        <w:tc>
          <w:tcPr>
            <w:tcW w:w="0" w:type="dxa"/>
            <w:vAlign w:val="bottom"/>
          </w:tcPr>
          <w:p>
            <w:pPr>
              <w:spacing w:after="0"/>
              <w:rPr>
                <w:sz w:val="1"/>
                <w:szCs w:val="1"/>
                <w:color w:val="auto"/>
              </w:rPr>
            </w:pPr>
          </w:p>
        </w:tc>
      </w:tr>
      <w:tr>
        <w:trPr>
          <w:trHeight w:val="75"/>
        </w:trPr>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2</w:t>
            </w:r>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Consent of Armanino LLP</w:t>
            </w:r>
          </w:p>
        </w:tc>
        <w:tc>
          <w:tcPr>
            <w:tcW w:w="0" w:type="dxa"/>
            <w:vAlign w:val="bottom"/>
          </w:tcPr>
          <w:p>
            <w:pPr>
              <w:spacing w:after="0"/>
              <w:rPr>
                <w:sz w:val="1"/>
                <w:szCs w:val="1"/>
                <w:color w:val="auto"/>
              </w:rPr>
            </w:pPr>
          </w:p>
        </w:tc>
      </w:tr>
      <w:tr>
        <w:trPr>
          <w:trHeight w:val="75"/>
        </w:trPr>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768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3</w:t>
            </w:r>
          </w:p>
        </w:tc>
        <w:tc>
          <w:tcPr>
            <w:tcW w:w="10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Consent of BDO China Shu Lun Pan Certified Public Accountants LLP</w:t>
            </w:r>
          </w:p>
        </w:tc>
        <w:tc>
          <w:tcPr>
            <w:tcW w:w="0" w:type="dxa"/>
            <w:vAlign w:val="bottom"/>
          </w:tcPr>
          <w:p>
            <w:pPr>
              <w:spacing w:after="0"/>
              <w:rPr>
                <w:sz w:val="1"/>
                <w:szCs w:val="1"/>
                <w:color w:val="auto"/>
              </w:rPr>
            </w:pPr>
          </w:p>
        </w:tc>
      </w:tr>
      <w:tr>
        <w:trPr>
          <w:trHeight w:val="75"/>
        </w:trPr>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4</w:t>
            </w:r>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Consent of K&amp;L Gates LLP (included in Exhibit 5.1)</w:t>
            </w:r>
          </w:p>
        </w:tc>
        <w:tc>
          <w:tcPr>
            <w:tcW w:w="0" w:type="dxa"/>
            <w:vAlign w:val="bottom"/>
          </w:tcPr>
          <w:p>
            <w:pPr>
              <w:spacing w:after="0"/>
              <w:rPr>
                <w:sz w:val="1"/>
                <w:szCs w:val="1"/>
                <w:color w:val="auto"/>
              </w:rPr>
            </w:pPr>
          </w:p>
        </w:tc>
      </w:tr>
      <w:tr>
        <w:trPr>
          <w:trHeight w:val="75"/>
        </w:trPr>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768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Powers of Attorney (included on the signature page of the Registration Statement)</w:t>
            </w:r>
          </w:p>
        </w:tc>
        <w:tc>
          <w:tcPr>
            <w:tcW w:w="0" w:type="dxa"/>
            <w:vAlign w:val="bottom"/>
          </w:tcPr>
          <w:p>
            <w:pPr>
              <w:spacing w:after="0"/>
              <w:rPr>
                <w:sz w:val="1"/>
                <w:szCs w:val="1"/>
                <w:color w:val="auto"/>
              </w:rPr>
            </w:pPr>
          </w:p>
        </w:tc>
      </w:tr>
      <w:tr>
        <w:trPr>
          <w:trHeight w:val="75"/>
        </w:trPr>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2"/>
        </w:trPr>
        <w:tc>
          <w:tcPr>
            <w:tcW w:w="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21"/>
                <w:szCs w:val="21"/>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 of Eligibility on Form T 1 under the Trust Indenture Act of 1939 of the Trustee under the</w:t>
            </w:r>
          </w:p>
        </w:tc>
        <w:tc>
          <w:tcPr>
            <w:tcW w:w="0" w:type="dxa"/>
            <w:vAlign w:val="bottom"/>
          </w:tcPr>
          <w:p>
            <w:pPr>
              <w:spacing w:after="0"/>
              <w:rPr>
                <w:sz w:val="1"/>
                <w:szCs w:val="1"/>
                <w:color w:val="auto"/>
              </w:rPr>
            </w:pPr>
          </w:p>
        </w:tc>
      </w:tr>
      <w:tr>
        <w:trPr>
          <w:trHeight w:val="268"/>
        </w:trPr>
        <w:tc>
          <w:tcPr>
            <w:tcW w:w="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Indenture</w:t>
            </w:r>
          </w:p>
        </w:tc>
        <w:tc>
          <w:tcPr>
            <w:tcW w:w="0" w:type="dxa"/>
            <w:vAlign w:val="bottom"/>
          </w:tcPr>
          <w:p>
            <w:pPr>
              <w:spacing w:after="0"/>
              <w:rPr>
                <w:sz w:val="1"/>
                <w:szCs w:val="1"/>
                <w:color w:val="auto"/>
              </w:rPr>
            </w:pPr>
          </w:p>
        </w:tc>
      </w:tr>
      <w:tr>
        <w:trPr>
          <w:trHeight w:val="252"/>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21"/>
                <w:szCs w:val="21"/>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Statement of Eligibility on Form T 1 under the Trust Indenture Act of 1939 of the Trustee under the</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Indenture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34290</wp:posOffset>
            </wp:positionV>
            <wp:extent cx="5349240"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5349240" cy="205740"/>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-4919980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1040" w:hanging="748"/>
        <w:spacing w:after="0"/>
        <w:tabs>
          <w:tab w:leader="none" w:pos="1040" w:val="left"/>
        </w:tabs>
        <w:numPr>
          <w:ilvl w:val="0"/>
          <w:numId w:val="2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205740</wp:posOffset>
            </wp:positionV>
            <wp:extent cx="8229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49" w:lineRule="exact"/>
        <w:rPr>
          <w:sz w:val="20"/>
          <w:szCs w:val="20"/>
          <w:color w:val="auto"/>
        </w:rPr>
      </w:pPr>
    </w:p>
    <w:p>
      <w:pPr>
        <w:ind w:left="300" w:right="2659" w:hanging="8"/>
        <w:spacing w:after="0" w:line="342" w:lineRule="auto"/>
        <w:tabs>
          <w:tab w:leader="none" w:pos="651"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or incorporated by reference in connection with an offering of securities. ** To be filed pursuant to Section 305(b)(2) of the Trust Indenture Act of 1939, as amended.</w:t>
      </w:r>
    </w:p>
    <w:p>
      <w:pPr>
        <w:spacing w:after="0" w:line="109"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17.</w:t>
        <w:tab/>
        <w:t>Undertakings</w:t>
      </w:r>
    </w:p>
    <w:p>
      <w:pPr>
        <w:spacing w:after="0" w:line="121" w:lineRule="exact"/>
        <w:rPr>
          <w:sz w:val="20"/>
          <w:szCs w:val="20"/>
          <w:color w:val="auto"/>
        </w:rPr>
      </w:pPr>
    </w:p>
    <w:p>
      <w:pPr>
        <w:ind w:left="640" w:hanging="348"/>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53"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71"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(a)(1)(ii), and (a)(1)(iii) of this section do not apply if the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1"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this registration statement; and</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w:t>
      </w:r>
    </w:p>
    <w:p>
      <w:pPr>
        <w:jc w:val="both"/>
        <w:ind w:left="1360" w:right="3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3"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9" w:lineRule="exact"/>
        <w:rPr>
          <w:sz w:val="20"/>
          <w:szCs w:val="20"/>
          <w:color w:val="auto"/>
        </w:rPr>
      </w:pPr>
    </w:p>
    <w:p>
      <w:pPr>
        <w:ind w:left="1360" w:right="319" w:hanging="348"/>
        <w:spacing w:after="0" w:line="282" w:lineRule="auto"/>
        <w:tabs>
          <w:tab w:leader="none" w:pos="13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53"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56" w:lineRule="auto"/>
        <w:rPr>
          <w:sz w:val="20"/>
          <w:szCs w:val="20"/>
          <w:color w:val="auto"/>
        </w:rPr>
      </w:pPr>
      <w:r>
        <w:rPr>
          <w:rFonts w:ascii="Times New Roman" w:cs="Times New Roman" w:eastAsia="Times New Roman" w:hAnsi="Times New Roman"/>
          <w:sz w:val="18"/>
          <w:szCs w:val="18"/>
          <w:color w:val="auto"/>
        </w:rPr>
        <w:t>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79" w:lineRule="exact"/>
        <w:rPr>
          <w:sz w:val="20"/>
          <w:szCs w:val="20"/>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 application for the purpose of determining the eligibility of the trustee to act under subsection</w:t>
      </w:r>
    </w:p>
    <w:p>
      <w:pPr>
        <w:spacing w:after="0" w:line="27" w:lineRule="exact"/>
        <w:rPr>
          <w:rFonts w:ascii="Times New Roman" w:cs="Times New Roman" w:eastAsia="Times New Roman" w:hAnsi="Times New Roman"/>
          <w:sz w:val="18"/>
          <w:szCs w:val="18"/>
          <w:color w:val="auto"/>
        </w:rPr>
      </w:pPr>
    </w:p>
    <w:p>
      <w:pPr>
        <w:ind w:left="1000" w:right="2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of Section 310 of the Trust Indenture Act in accordance with the rules and regulations prescribed by the SEC under Section 305(b)(2) of the Trust Indenture Act.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Fremont, State of California, on March 18, 2024.</w:t>
      </w:r>
    </w:p>
    <w:p>
      <w:pPr>
        <w:spacing w:after="0" w:line="15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00" w:lineRule="exact"/>
        <w:rPr>
          <w:sz w:val="20"/>
          <w:szCs w:val="20"/>
          <w:color w:val="auto"/>
        </w:rPr>
      </w:pPr>
    </w:p>
    <w:p>
      <w:pPr>
        <w:spacing w:after="0" w:line="241" w:lineRule="exact"/>
        <w:rPr>
          <w:sz w:val="20"/>
          <w:szCs w:val="20"/>
          <w:color w:val="auto"/>
        </w:rPr>
      </w:pPr>
    </w:p>
    <w:p>
      <w:pPr>
        <w:ind w:left="4160"/>
        <w:spacing w:after="0"/>
        <w:tabs>
          <w:tab w:leader="none" w:pos="4600" w:val="left"/>
        </w:tabs>
        <w:rPr>
          <w:sz w:val="20"/>
          <w:szCs w:val="20"/>
          <w:color w:val="auto"/>
        </w:rPr>
      </w:pPr>
      <w:r>
        <w:rPr>
          <w:rFonts w:ascii="Times New Roman" w:cs="Times New Roman" w:eastAsia="Times New Roman" w:hAnsi="Times New Roman"/>
          <w:sz w:val="18"/>
          <w:szCs w:val="18"/>
          <w:color w:val="auto"/>
        </w:rPr>
        <w:t>By:</w:t>
        <w:tab/>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60325</wp:posOffset>
            </wp:positionV>
            <wp:extent cx="26060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13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David H. Wang</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11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David H. Wang and Mark A. McKechnie, or any of them, as his or her true and lawful attorneys-in-fact and agents, with full power of substitution and resubstitution, for him or her and in his or her name, place and stead, in any and all capacities, to file and sign any and all amendments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80"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on behalf of the registrant in the capacities and on the dates indicated.</w:t>
      </w:r>
    </w:p>
    <w:p>
      <w:pPr>
        <w:spacing w:after="0" w:line="196" w:lineRule="exact"/>
        <w:rPr>
          <w:sz w:val="20"/>
          <w:szCs w:val="20"/>
          <w:color w:val="auto"/>
        </w:rPr>
      </w:pPr>
    </w:p>
    <w:p>
      <w:pPr>
        <w:ind w:left="300"/>
        <w:spacing w:after="0"/>
        <w:tabs>
          <w:tab w:leader="none" w:pos="3820" w:val="left"/>
          <w:tab w:leader="none" w:pos="738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50800</wp:posOffset>
            </wp:positionV>
            <wp:extent cx="53492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 David H. Wang</w:t>
            </w:r>
          </w:p>
        </w:tc>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Executive Officer, President</w:t>
            </w:r>
          </w:p>
        </w:tc>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March 18, 2024</w:t>
            </w:r>
          </w:p>
        </w:tc>
        <w:tc>
          <w:tcPr>
            <w:tcW w:w="0" w:type="dxa"/>
            <w:vAlign w:val="bottom"/>
          </w:tcPr>
          <w:p>
            <w:pPr>
              <w:spacing w:after="0"/>
              <w:rPr>
                <w:sz w:val="1"/>
                <w:szCs w:val="1"/>
                <w:color w:val="auto"/>
              </w:rPr>
            </w:pPr>
          </w:p>
        </w:tc>
      </w:tr>
      <w:tr>
        <w:trPr>
          <w:trHeight w:val="113"/>
        </w:trPr>
        <w:tc>
          <w:tcPr>
            <w:tcW w:w="3360" w:type="dxa"/>
            <w:vAlign w:val="bottom"/>
            <w:tcBorders>
              <w:bottom w:val="single" w:sz="8" w:color="auto"/>
            </w:tcBorders>
          </w:tcPr>
          <w:p>
            <w:pPr>
              <w:spacing w:after="0"/>
              <w:rPr>
                <w:sz w:val="9"/>
                <w:szCs w:val="9"/>
                <w:color w:val="auto"/>
              </w:rPr>
            </w:pPr>
          </w:p>
        </w:tc>
        <w:tc>
          <w:tcPr>
            <w:tcW w:w="36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and Chair of the Board of Directors</w:t>
            </w: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David H Wang</w:t>
            </w:r>
          </w:p>
        </w:tc>
        <w:tc>
          <w:tcPr>
            <w:tcW w:w="3640" w:type="dxa"/>
            <w:vAlign w:val="bottom"/>
            <w:vMerge w:val="continue"/>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360" w:type="dxa"/>
            <w:vAlign w:val="bottom"/>
            <w:vMerge w:val="continue"/>
          </w:tcPr>
          <w:p>
            <w:pPr>
              <w:spacing w:after="0"/>
              <w:rPr>
                <w:sz w:val="20"/>
                <w:szCs w:val="20"/>
                <w:color w:val="auto"/>
              </w:rPr>
            </w:pPr>
          </w:p>
        </w:tc>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 Mark A. McKechnie</w:t>
            </w:r>
          </w:p>
        </w:tc>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 Officer, Executive Vice</w:t>
            </w:r>
          </w:p>
        </w:tc>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March 18, 2024</w:t>
            </w:r>
          </w:p>
        </w:tc>
        <w:tc>
          <w:tcPr>
            <w:tcW w:w="0" w:type="dxa"/>
            <w:vAlign w:val="bottom"/>
          </w:tcPr>
          <w:p>
            <w:pPr>
              <w:spacing w:after="0"/>
              <w:rPr>
                <w:sz w:val="1"/>
                <w:szCs w:val="1"/>
                <w:color w:val="auto"/>
              </w:rPr>
            </w:pPr>
          </w:p>
        </w:tc>
      </w:tr>
      <w:tr>
        <w:trPr>
          <w:trHeight w:val="113"/>
        </w:trPr>
        <w:tc>
          <w:tcPr>
            <w:tcW w:w="3360" w:type="dxa"/>
            <w:vAlign w:val="bottom"/>
            <w:tcBorders>
              <w:bottom w:val="single" w:sz="8" w:color="auto"/>
            </w:tcBorders>
          </w:tcPr>
          <w:p>
            <w:pPr>
              <w:spacing w:after="0"/>
              <w:rPr>
                <w:sz w:val="9"/>
                <w:szCs w:val="9"/>
                <w:color w:val="auto"/>
              </w:rPr>
            </w:pPr>
          </w:p>
        </w:tc>
        <w:tc>
          <w:tcPr>
            <w:tcW w:w="36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President and Treasurer</w:t>
            </w: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Mark A. McKechnie</w:t>
            </w:r>
          </w:p>
        </w:tc>
        <w:tc>
          <w:tcPr>
            <w:tcW w:w="3640" w:type="dxa"/>
            <w:vAlign w:val="bottom"/>
            <w:vMerge w:val="continue"/>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360" w:type="dxa"/>
            <w:vAlign w:val="bottom"/>
            <w:vMerge w:val="continue"/>
          </w:tcPr>
          <w:p>
            <w:pPr>
              <w:spacing w:after="0"/>
              <w:rPr>
                <w:sz w:val="20"/>
                <w:szCs w:val="20"/>
                <w:color w:val="auto"/>
              </w:rPr>
            </w:pPr>
          </w:p>
        </w:tc>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 Haiping Dun</w:t>
            </w:r>
          </w:p>
        </w:tc>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March 18, 2024</w:t>
            </w:r>
          </w:p>
        </w:tc>
        <w:tc>
          <w:tcPr>
            <w:tcW w:w="0" w:type="dxa"/>
            <w:vAlign w:val="bottom"/>
          </w:tcPr>
          <w:p>
            <w:pPr>
              <w:spacing w:after="0"/>
              <w:rPr>
                <w:sz w:val="1"/>
                <w:szCs w:val="1"/>
                <w:color w:val="auto"/>
              </w:rPr>
            </w:pPr>
          </w:p>
        </w:tc>
      </w:tr>
      <w:tr>
        <w:trPr>
          <w:trHeight w:val="67"/>
        </w:trPr>
        <w:tc>
          <w:tcPr>
            <w:tcW w:w="3360" w:type="dxa"/>
            <w:vAlign w:val="bottom"/>
            <w:tcBorders>
              <w:bottom w:val="single" w:sz="8" w:color="auto"/>
            </w:tcBorders>
          </w:tcPr>
          <w:p>
            <w:pPr>
              <w:spacing w:after="0"/>
              <w:rPr>
                <w:sz w:val="5"/>
                <w:szCs w:val="5"/>
                <w:color w:val="auto"/>
              </w:rPr>
            </w:pPr>
          </w:p>
        </w:tc>
        <w:tc>
          <w:tcPr>
            <w:tcW w:w="36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Haiping Dun</w:t>
            </w:r>
          </w:p>
        </w:tc>
        <w:tc>
          <w:tcPr>
            <w:tcW w:w="3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 Chenming Hu</w:t>
            </w:r>
          </w:p>
        </w:tc>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March 18, 2024</w:t>
            </w:r>
          </w:p>
        </w:tc>
        <w:tc>
          <w:tcPr>
            <w:tcW w:w="0" w:type="dxa"/>
            <w:vAlign w:val="bottom"/>
          </w:tcPr>
          <w:p>
            <w:pPr>
              <w:spacing w:after="0"/>
              <w:rPr>
                <w:sz w:val="1"/>
                <w:szCs w:val="1"/>
                <w:color w:val="auto"/>
              </w:rPr>
            </w:pPr>
          </w:p>
        </w:tc>
      </w:tr>
      <w:tr>
        <w:trPr>
          <w:trHeight w:val="68"/>
        </w:trPr>
        <w:tc>
          <w:tcPr>
            <w:tcW w:w="3360" w:type="dxa"/>
            <w:vAlign w:val="bottom"/>
            <w:tcBorders>
              <w:bottom w:val="single" w:sz="8" w:color="auto"/>
            </w:tcBorders>
          </w:tcPr>
          <w:p>
            <w:pPr>
              <w:spacing w:after="0"/>
              <w:rPr>
                <w:sz w:val="5"/>
                <w:szCs w:val="5"/>
                <w:color w:val="auto"/>
              </w:rPr>
            </w:pPr>
          </w:p>
        </w:tc>
        <w:tc>
          <w:tcPr>
            <w:tcW w:w="36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Chenming Hu</w:t>
            </w:r>
          </w:p>
        </w:tc>
        <w:tc>
          <w:tcPr>
            <w:tcW w:w="3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 Tracy Liu</w:t>
            </w:r>
          </w:p>
        </w:tc>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March 18, 2024</w:t>
            </w:r>
          </w:p>
        </w:tc>
        <w:tc>
          <w:tcPr>
            <w:tcW w:w="0" w:type="dxa"/>
            <w:vAlign w:val="bottom"/>
          </w:tcPr>
          <w:p>
            <w:pPr>
              <w:spacing w:after="0"/>
              <w:rPr>
                <w:sz w:val="1"/>
                <w:szCs w:val="1"/>
                <w:color w:val="auto"/>
              </w:rPr>
            </w:pPr>
          </w:p>
        </w:tc>
      </w:tr>
      <w:tr>
        <w:trPr>
          <w:trHeight w:val="68"/>
        </w:trPr>
        <w:tc>
          <w:tcPr>
            <w:tcW w:w="3360" w:type="dxa"/>
            <w:vAlign w:val="bottom"/>
            <w:tcBorders>
              <w:bottom w:val="single" w:sz="8" w:color="auto"/>
            </w:tcBorders>
          </w:tcPr>
          <w:p>
            <w:pPr>
              <w:spacing w:after="0"/>
              <w:rPr>
                <w:sz w:val="5"/>
                <w:szCs w:val="5"/>
                <w:color w:val="auto"/>
              </w:rPr>
            </w:pPr>
          </w:p>
        </w:tc>
        <w:tc>
          <w:tcPr>
            <w:tcW w:w="36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Tracy Liu</w:t>
            </w:r>
          </w:p>
        </w:tc>
        <w:tc>
          <w:tcPr>
            <w:tcW w:w="3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 Xiao Xing</w:t>
            </w:r>
          </w:p>
        </w:tc>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March 18, 2024</w:t>
            </w:r>
          </w:p>
        </w:tc>
        <w:tc>
          <w:tcPr>
            <w:tcW w:w="0" w:type="dxa"/>
            <w:vAlign w:val="bottom"/>
          </w:tcPr>
          <w:p>
            <w:pPr>
              <w:spacing w:after="0"/>
              <w:rPr>
                <w:sz w:val="1"/>
                <w:szCs w:val="1"/>
                <w:color w:val="auto"/>
              </w:rPr>
            </w:pPr>
          </w:p>
        </w:tc>
      </w:tr>
      <w:tr>
        <w:trPr>
          <w:trHeight w:val="68"/>
        </w:trPr>
        <w:tc>
          <w:tcPr>
            <w:tcW w:w="3360" w:type="dxa"/>
            <w:vAlign w:val="bottom"/>
            <w:tcBorders>
              <w:bottom w:val="single" w:sz="8" w:color="auto"/>
            </w:tcBorders>
          </w:tcPr>
          <w:p>
            <w:pPr>
              <w:spacing w:after="0"/>
              <w:rPr>
                <w:sz w:val="5"/>
                <w:szCs w:val="5"/>
                <w:color w:val="auto"/>
              </w:rPr>
            </w:pPr>
          </w:p>
        </w:tc>
        <w:tc>
          <w:tcPr>
            <w:tcW w:w="36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Xiao Xing</w:t>
            </w:r>
          </w:p>
        </w:tc>
        <w:tc>
          <w:tcPr>
            <w:tcW w:w="3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360" w:type="dxa"/>
            <w:vAlign w:val="bottom"/>
          </w:tcPr>
          <w:p>
            <w:pPr>
              <w:spacing w:after="0"/>
              <w:rPr>
                <w:sz w:val="24"/>
                <w:szCs w:val="24"/>
                <w:color w:val="auto"/>
              </w:rPr>
            </w:pPr>
          </w:p>
        </w:tc>
        <w:tc>
          <w:tcPr>
            <w:tcW w:w="36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5</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3" w:right="1440"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7132320" cy="43180"/>
                    </a:xfrm>
                    <a:prstGeom prst="rect">
                      <a:avLst/>
                    </a:prstGeom>
                    <a:noFill/>
                  </pic:spPr>
                </pic:pic>
              </a:graphicData>
            </a:graphic>
          </wp:anchor>
        </w:drawing>
        <w:t>EXHIBIT 4.3</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ACM RESEARCH, INC.</w:t>
      </w:r>
    </w:p>
    <w:p>
      <w:pPr>
        <w:spacing w:after="0" w:line="23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as Trustee</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Dated as of , 20</w:t>
      </w: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276860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22"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7600" w:type="dxa"/>
            <w:vAlign w:val="bottom"/>
            <w:gridSpan w:val="3"/>
          </w:tcPr>
          <w:p>
            <w:pPr>
              <w:ind w:left="4320"/>
              <w:spacing w:after="0"/>
              <w:rPr>
                <w:sz w:val="20"/>
                <w:szCs w:val="20"/>
                <w:color w:val="auto"/>
              </w:rPr>
            </w:pPr>
            <w:r>
              <w:rPr>
                <w:rFonts w:ascii="Times New Roman" w:cs="Times New Roman" w:eastAsia="Times New Roman" w:hAnsi="Times New Roman"/>
                <w:sz w:val="18"/>
                <w:szCs w:val="18"/>
                <w:b w:val="1"/>
                <w:bCs w:val="1"/>
                <w:color w:val="auto"/>
              </w:rPr>
              <w:t>CROSS-REFERENCE TABLE(1)</w:t>
            </w:r>
          </w:p>
        </w:tc>
        <w:tc>
          <w:tcPr>
            <w:tcW w:w="3640" w:type="dxa"/>
            <w:vAlign w:val="bottom"/>
          </w:tcPr>
          <w:p>
            <w:pPr>
              <w:spacing w:after="0"/>
              <w:rPr>
                <w:sz w:val="20"/>
                <w:szCs w:val="20"/>
                <w:color w:val="auto"/>
              </w:rPr>
            </w:pPr>
          </w:p>
        </w:tc>
      </w:tr>
      <w:tr>
        <w:trPr>
          <w:trHeight w:val="410"/>
        </w:trPr>
        <w:tc>
          <w:tcPr>
            <w:tcW w:w="760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SECTION OF</w:t>
            </w:r>
          </w:p>
        </w:tc>
        <w:tc>
          <w:tcPr>
            <w:tcW w:w="3640" w:type="dxa"/>
            <w:vAlign w:val="bottom"/>
          </w:tcPr>
          <w:p>
            <w:pPr>
              <w:spacing w:after="0"/>
              <w:rPr>
                <w:sz w:val="24"/>
                <w:szCs w:val="24"/>
                <w:color w:val="auto"/>
              </w:rPr>
            </w:pPr>
          </w:p>
        </w:tc>
      </w:tr>
      <w:tr>
        <w:trPr>
          <w:trHeight w:val="216"/>
        </w:trPr>
        <w:tc>
          <w:tcPr>
            <w:tcW w:w="760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TRUST INDENTURE</w:t>
            </w:r>
          </w:p>
        </w:tc>
        <w:tc>
          <w:tcPr>
            <w:tcW w:w="364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SECTION(S) OF</w:t>
            </w:r>
          </w:p>
        </w:tc>
      </w:tr>
      <w:tr>
        <w:trPr>
          <w:trHeight w:val="238"/>
        </w:trPr>
        <w:tc>
          <w:tcPr>
            <w:tcW w:w="6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ACT OF 1939, AS AMENDED</w:t>
            </w:r>
          </w:p>
        </w:tc>
        <w:tc>
          <w:tcPr>
            <w:tcW w:w="1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INDENTURE</w:t>
            </w:r>
          </w:p>
        </w:tc>
      </w:tr>
      <w:tr>
        <w:trPr>
          <w:trHeight w:val="407"/>
        </w:trPr>
        <w:tc>
          <w:tcPr>
            <w:tcW w:w="7600" w:type="dxa"/>
            <w:vAlign w:val="bottom"/>
            <w:gridSpan w:val="3"/>
          </w:tcPr>
          <w:p>
            <w:pPr>
              <w:jc w:val="right"/>
              <w:ind w:right="4100"/>
              <w:spacing w:after="0"/>
              <w:rPr>
                <w:sz w:val="20"/>
                <w:szCs w:val="20"/>
                <w:color w:val="auto"/>
              </w:rPr>
            </w:pPr>
            <w:r>
              <w:rPr>
                <w:rFonts w:ascii="Times New Roman" w:cs="Times New Roman" w:eastAsia="Times New Roman" w:hAnsi="Times New Roman"/>
                <w:sz w:val="18"/>
                <w:szCs w:val="18"/>
                <w:color w:val="auto"/>
              </w:rPr>
              <w:t>310(b)</w:t>
            </w:r>
          </w:p>
        </w:tc>
        <w:tc>
          <w:tcPr>
            <w:tcW w:w="364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7600" w:type="dxa"/>
            <w:vAlign w:val="bottom"/>
            <w:gridSpan w:val="3"/>
          </w:tcPr>
          <w:p>
            <w:pPr>
              <w:jc w:val="right"/>
              <w:ind w:right="4100"/>
              <w:spacing w:after="0"/>
              <w:rPr>
                <w:sz w:val="20"/>
                <w:szCs w:val="20"/>
                <w:color w:val="auto"/>
              </w:rPr>
            </w:pPr>
            <w:r>
              <w:rPr>
                <w:rFonts w:ascii="Times New Roman" w:cs="Times New Roman" w:eastAsia="Times New Roman" w:hAnsi="Times New Roman"/>
                <w:sz w:val="18"/>
                <w:szCs w:val="18"/>
                <w:color w:val="auto"/>
              </w:rPr>
              <w:t>311(a)</w:t>
            </w:r>
          </w:p>
        </w:tc>
        <w:tc>
          <w:tcPr>
            <w:tcW w:w="364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7600" w:type="dxa"/>
            <w:vAlign w:val="bottom"/>
            <w:gridSpan w:val="3"/>
          </w:tcPr>
          <w:p>
            <w:pPr>
              <w:jc w:val="right"/>
              <w:ind w:right="4100"/>
              <w:spacing w:after="0"/>
              <w:rPr>
                <w:sz w:val="20"/>
                <w:szCs w:val="20"/>
                <w:color w:val="auto"/>
              </w:rPr>
            </w:pPr>
            <w:r>
              <w:rPr>
                <w:rFonts w:ascii="Times New Roman" w:cs="Times New Roman" w:eastAsia="Times New Roman" w:hAnsi="Times New Roman"/>
                <w:sz w:val="18"/>
                <w:szCs w:val="18"/>
                <w:color w:val="auto"/>
              </w:rPr>
              <w:t>311(b)</w:t>
            </w:r>
          </w:p>
        </w:tc>
        <w:tc>
          <w:tcPr>
            <w:tcW w:w="364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7600" w:type="dxa"/>
            <w:vAlign w:val="bottom"/>
            <w:gridSpan w:val="3"/>
          </w:tcPr>
          <w:p>
            <w:pPr>
              <w:jc w:val="right"/>
              <w:ind w:right="4100"/>
              <w:spacing w:after="0"/>
              <w:rPr>
                <w:sz w:val="20"/>
                <w:szCs w:val="20"/>
                <w:color w:val="auto"/>
              </w:rPr>
            </w:pPr>
            <w:r>
              <w:rPr>
                <w:rFonts w:ascii="Times New Roman" w:cs="Times New Roman" w:eastAsia="Times New Roman" w:hAnsi="Times New Roman"/>
                <w:sz w:val="18"/>
                <w:szCs w:val="18"/>
                <w:color w:val="auto"/>
              </w:rPr>
              <w:t>312(a)</w:t>
            </w:r>
          </w:p>
        </w:tc>
        <w:tc>
          <w:tcPr>
            <w:tcW w:w="364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rPr>
              <w:t>5.2(a)</w:t>
            </w:r>
          </w:p>
        </w:tc>
      </w:tr>
      <w:tr>
        <w:trPr>
          <w:trHeight w:val="216"/>
        </w:trPr>
        <w:tc>
          <w:tcPr>
            <w:tcW w:w="7600" w:type="dxa"/>
            <w:vAlign w:val="bottom"/>
            <w:gridSpan w:val="3"/>
          </w:tcPr>
          <w:p>
            <w:pPr>
              <w:jc w:val="right"/>
              <w:ind w:right="4100"/>
              <w:spacing w:after="0"/>
              <w:rPr>
                <w:sz w:val="20"/>
                <w:szCs w:val="20"/>
                <w:color w:val="auto"/>
              </w:rPr>
            </w:pPr>
            <w:r>
              <w:rPr>
                <w:rFonts w:ascii="Times New Roman" w:cs="Times New Roman" w:eastAsia="Times New Roman" w:hAnsi="Times New Roman"/>
                <w:sz w:val="18"/>
                <w:szCs w:val="18"/>
                <w:color w:val="auto"/>
              </w:rPr>
              <w:t>312(b)</w:t>
            </w:r>
          </w:p>
        </w:tc>
        <w:tc>
          <w:tcPr>
            <w:tcW w:w="364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rPr>
              <w:t>5.2(b)</w:t>
            </w:r>
          </w:p>
        </w:tc>
      </w:tr>
      <w:tr>
        <w:trPr>
          <w:trHeight w:val="216"/>
        </w:trPr>
        <w:tc>
          <w:tcPr>
            <w:tcW w:w="7600" w:type="dxa"/>
            <w:vAlign w:val="bottom"/>
            <w:gridSpan w:val="3"/>
          </w:tcPr>
          <w:p>
            <w:pPr>
              <w:jc w:val="right"/>
              <w:ind w:right="4100"/>
              <w:spacing w:after="0"/>
              <w:rPr>
                <w:sz w:val="20"/>
                <w:szCs w:val="20"/>
                <w:color w:val="auto"/>
              </w:rPr>
            </w:pPr>
            <w:r>
              <w:rPr>
                <w:rFonts w:ascii="Times New Roman" w:cs="Times New Roman" w:eastAsia="Times New Roman" w:hAnsi="Times New Roman"/>
                <w:sz w:val="18"/>
                <w:szCs w:val="18"/>
                <w:color w:val="auto"/>
              </w:rPr>
              <w:t>312(c)</w:t>
            </w:r>
          </w:p>
        </w:tc>
        <w:tc>
          <w:tcPr>
            <w:tcW w:w="364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rPr>
              <w:t>5.2(c)</w:t>
            </w:r>
          </w:p>
        </w:tc>
      </w:tr>
      <w:tr>
        <w:trPr>
          <w:trHeight w:val="216"/>
        </w:trPr>
        <w:tc>
          <w:tcPr>
            <w:tcW w:w="7600" w:type="dxa"/>
            <w:vAlign w:val="bottom"/>
            <w:gridSpan w:val="3"/>
          </w:tcPr>
          <w:p>
            <w:pPr>
              <w:jc w:val="right"/>
              <w:ind w:right="4100"/>
              <w:spacing w:after="0"/>
              <w:rPr>
                <w:sz w:val="20"/>
                <w:szCs w:val="20"/>
                <w:color w:val="auto"/>
              </w:rPr>
            </w:pPr>
            <w:r>
              <w:rPr>
                <w:rFonts w:ascii="Times New Roman" w:cs="Times New Roman" w:eastAsia="Times New Roman" w:hAnsi="Times New Roman"/>
                <w:sz w:val="18"/>
                <w:szCs w:val="18"/>
                <w:color w:val="auto"/>
              </w:rPr>
              <w:t>313(a)</w:t>
            </w:r>
          </w:p>
        </w:tc>
        <w:tc>
          <w:tcPr>
            <w:tcW w:w="364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rPr>
              <w:t>5.4(a)</w:t>
            </w:r>
          </w:p>
        </w:tc>
      </w:tr>
      <w:tr>
        <w:trPr>
          <w:trHeight w:val="216"/>
        </w:trPr>
        <w:tc>
          <w:tcPr>
            <w:tcW w:w="7600" w:type="dxa"/>
            <w:vAlign w:val="bottom"/>
            <w:gridSpan w:val="3"/>
          </w:tcPr>
          <w:p>
            <w:pPr>
              <w:jc w:val="right"/>
              <w:ind w:right="4100"/>
              <w:spacing w:after="0"/>
              <w:rPr>
                <w:sz w:val="20"/>
                <w:szCs w:val="20"/>
                <w:color w:val="auto"/>
              </w:rPr>
            </w:pPr>
            <w:r>
              <w:rPr>
                <w:rFonts w:ascii="Times New Roman" w:cs="Times New Roman" w:eastAsia="Times New Roman" w:hAnsi="Times New Roman"/>
                <w:sz w:val="18"/>
                <w:szCs w:val="18"/>
                <w:color w:val="auto"/>
              </w:rPr>
              <w:t>313(b)</w:t>
            </w:r>
          </w:p>
        </w:tc>
        <w:tc>
          <w:tcPr>
            <w:tcW w:w="364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rPr>
              <w:t>5.4(b)</w:t>
            </w:r>
          </w:p>
        </w:tc>
      </w:tr>
      <w:tr>
        <w:trPr>
          <w:trHeight w:val="234"/>
        </w:trPr>
        <w:tc>
          <w:tcPr>
            <w:tcW w:w="7600" w:type="dxa"/>
            <w:vAlign w:val="bottom"/>
            <w:gridSpan w:val="3"/>
          </w:tcPr>
          <w:p>
            <w:pPr>
              <w:jc w:val="right"/>
              <w:ind w:right="4100"/>
              <w:spacing w:after="0"/>
              <w:rPr>
                <w:sz w:val="20"/>
                <w:szCs w:val="20"/>
                <w:color w:val="auto"/>
              </w:rPr>
            </w:pPr>
            <w:r>
              <w:rPr>
                <w:rFonts w:ascii="Times New Roman" w:cs="Times New Roman" w:eastAsia="Times New Roman" w:hAnsi="Times New Roman"/>
                <w:sz w:val="18"/>
                <w:szCs w:val="18"/>
                <w:color w:val="auto"/>
              </w:rPr>
              <w:t>313(c)</w:t>
            </w:r>
          </w:p>
        </w:tc>
        <w:tc>
          <w:tcPr>
            <w:tcW w:w="364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rPr>
              <w:t>5.4(b)</w:t>
            </w:r>
          </w:p>
        </w:tc>
      </w:tr>
    </w:tbl>
    <w:p>
      <w:pPr>
        <w:spacing w:after="0" w:line="198" w:lineRule="exact"/>
        <w:rPr>
          <w:sz w:val="20"/>
          <w:szCs w:val="20"/>
          <w:color w:val="auto"/>
        </w:rPr>
      </w:pPr>
    </w:p>
    <w:p>
      <w:pPr>
        <w:ind w:left="420" w:right="620" w:hanging="412"/>
        <w:spacing w:after="0" w:line="282" w:lineRule="auto"/>
        <w:tabs>
          <w:tab w:leader="none" w:pos="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Cross-Reference Table does not constitute part of the Indenture and shall not have any bearing on the interpretation of any of its terms or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8600" w:type="dxa"/>
            <w:vAlign w:val="bottom"/>
          </w:tcPr>
          <w:p>
            <w:pPr>
              <w:ind w:left="34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40" w:type="dxa"/>
            <w:vAlign w:val="bottom"/>
          </w:tcPr>
          <w:p>
            <w:pPr>
              <w:spacing w:after="0"/>
              <w:rPr>
                <w:sz w:val="20"/>
                <w:szCs w:val="20"/>
                <w:color w:val="auto"/>
              </w:rPr>
            </w:pPr>
          </w:p>
        </w:tc>
      </w:tr>
      <w:tr>
        <w:trPr>
          <w:trHeight w:val="432"/>
        </w:trPr>
        <w:tc>
          <w:tcPr>
            <w:tcW w:w="120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14"/>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1440" w:type="dxa"/>
            <w:vAlign w:val="bottom"/>
          </w:tcPr>
          <w:p>
            <w:pPr>
              <w:spacing w:after="0"/>
              <w:rPr>
                <w:sz w:val="24"/>
                <w:szCs w:val="24"/>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Definitions of Terms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Incorporation by Reference of Trust Indenture Act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ISSUE, DESCRIPTION, TERMS, EXECUTION, REGISTRATION AND EXCHANGE OF SECURITIES</w:t>
            </w:r>
          </w:p>
        </w:tc>
        <w:tc>
          <w:tcPr>
            <w:tcW w:w="144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Designation and Terms of Securities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of Securities and Trustee’s Certificate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Denominations; Provisions for Payment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2.4</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Execution and Authentication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2.5</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Registration of Transfer and Exchange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2.6</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Temporary Securities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2.7</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Mutilated, Destroyed, Lost or Stolen Securities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2.8</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Cancellation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2.9</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Benefits of Indenture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Authenticating Agent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Global Securities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CUSIP and ISIN Numbers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REDEMPTION OF SECURITIES AND SINKING FUND PROVISIONS</w:t>
            </w:r>
          </w:p>
        </w:tc>
        <w:tc>
          <w:tcPr>
            <w:tcW w:w="144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3.1</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Redemption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3.2</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Notice of Redemption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3.3</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Payment Upon Redemption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3.4</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Sinking Fund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3.5</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Satisfaction of Sinking Fund Payments with Securities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3.6</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Redemption of Securities for Sinking Fund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COVENANTS</w:t>
            </w:r>
          </w:p>
        </w:tc>
        <w:tc>
          <w:tcPr>
            <w:tcW w:w="144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4.1</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Payment of Principal, Premium and Interest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4.2</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Paying Agent and Security Registrar</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4.3</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Appointment to Fill Vacancy in Office of Trustee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4.4</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Compliance with Consolidation Provisions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SECURITYHOLDERS’ LISTS AND REPORTS BY THE COMPANY AND THE TRUSTEE</w:t>
            </w:r>
          </w:p>
        </w:tc>
        <w:tc>
          <w:tcPr>
            <w:tcW w:w="144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5.1</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Company to Furnish Trustee Names and Addresses of Securityholders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5.2</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Preservation of Information; Communications With Securityholders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5.3</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Reports by the Company</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5.4</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Reports by the Trustee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REMEDIES OF THE TRUSTEE AND SECURITYHOLDERS ON EVENT OF DEFAULT</w:t>
            </w:r>
          </w:p>
        </w:tc>
        <w:tc>
          <w:tcPr>
            <w:tcW w:w="144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6.1</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Events of Default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6.2</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Collection of Indebtedness and Suits for Enforcement by Trustee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6.3</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Application of Moneys Collected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6.4</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Limitation on Suits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6.5</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Rights and Remedies Cumulative; Delay or Omission Not Waiver</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6.6</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Control by Securityholders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6.7</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Undertaking to Pay Costs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CONCERNING THE TRUSTEE</w:t>
            </w:r>
          </w:p>
        </w:tc>
        <w:tc>
          <w:tcPr>
            <w:tcW w:w="144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7.1</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Certain Duties and Responsibilities of Trustee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7.2</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Certain Rights of Trustee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7.3</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Trustee Not Responsible for Recitals or Issuance or Securities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98"/>
        </w:trPr>
        <w:tc>
          <w:tcPr>
            <w:tcW w:w="1200" w:type="dxa"/>
            <w:vAlign w:val="bottom"/>
            <w:tcBorders>
              <w:bottom w:val="single" w:sz="8" w:color="auto"/>
            </w:tcBorders>
          </w:tcPr>
          <w:p>
            <w:pPr>
              <w:spacing w:after="0"/>
              <w:rPr>
                <w:sz w:val="24"/>
                <w:szCs w:val="24"/>
                <w:color w:val="auto"/>
              </w:rPr>
            </w:pPr>
          </w:p>
        </w:tc>
        <w:tc>
          <w:tcPr>
            <w:tcW w:w="86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7.4</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May Hold Securities and Otherwise Deal With the Company</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7.5</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Moneys Held in Trust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7.6</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Compensation and Reimbursement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7.7</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Reliance on Officer’s Certificate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7.8</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Disqualification; Conflicting Interests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7.9</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Corporate Trustee Required; Eligibility</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Resignation and Removal; Appointment of Successor</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Acceptance of Appointment By Successor</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7.12</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Merger, Conversion, Consolidation or Succession to Business.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7.13</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Preferential Collection of Claims Against the Company</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7.14</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Notice of Default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7.15</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Limitation of Liability</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CONCERNING THE SECURITYHOLDERS</w:t>
            </w:r>
          </w:p>
        </w:tc>
        <w:tc>
          <w:tcPr>
            <w:tcW w:w="144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8.1</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Evidence of Action by Securityholders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8.2</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Proof of Execution by Securityholders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8.3</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Who May be Deemed Owners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8.4</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Certain Securities Owned by Company Disregarded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8.5</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Actions Binding on Future Securityholders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SUPPLEMENTAL INDENTURES</w:t>
            </w:r>
          </w:p>
        </w:tc>
        <w:tc>
          <w:tcPr>
            <w:tcW w:w="144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9.1</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Supplemental Indentures Without the Consent of Securityholders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9.2</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Supplemental Indentures With the Consent of Securityholders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9.3</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Effect of Supplemental Indentures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9.4</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Securities Affected by Supplemental Indentures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9.5</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Execution of Supplemental Indentures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SUCCESSOR ENTITY</w:t>
            </w:r>
          </w:p>
        </w:tc>
        <w:tc>
          <w:tcPr>
            <w:tcW w:w="144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Company May Consolidate, Etc.</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Successor Entity Substituted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Evidence of Consolidation, Etc. to Trustee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SATISFACTION AND DISCHARGE</w:t>
            </w:r>
          </w:p>
        </w:tc>
        <w:tc>
          <w:tcPr>
            <w:tcW w:w="144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11.1</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11.2</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Application of Trust Money</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 LEGAL DEFEASANCE AND COVENANT DEFEASANCE</w:t>
            </w:r>
          </w:p>
        </w:tc>
        <w:tc>
          <w:tcPr>
            <w:tcW w:w="144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12.1</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Option to Effect Legal Defeasance or Covenant Defeasance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12.2</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Legal Defeasance and Discharge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12.3</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Covenant Defeasance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12.4</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Conditions to Legal or Covenant Defeasance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12.5</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Deposited Money and Government Securities to be Held in Trust; Other Miscellaneous Provisions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12.6</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Repayment to Company</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12.7</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Reinstatement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XIII IMMUNITY OF INCORPORATORS, STOCKHOLDERS, OFFICERS AND DIRECTORS</w:t>
            </w:r>
          </w:p>
        </w:tc>
        <w:tc>
          <w:tcPr>
            <w:tcW w:w="144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13.1</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 Recourse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XIV MISCELLANEOUS PROVISIONS</w:t>
            </w:r>
          </w:p>
        </w:tc>
        <w:tc>
          <w:tcPr>
            <w:tcW w:w="144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14.1</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Effect on Successors and Assigns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14.2</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Actions by Successor</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14.3</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Surrender of Company Powers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14.4</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Notices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14.5</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Governing Law/Waiver of Jury Trial</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14.6</w:t>
            </w:r>
          </w:p>
        </w:tc>
        <w:tc>
          <w:tcPr>
            <w:tcW w:w="8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Treatment of Securities as Debt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Section 14.7</w:t>
            </w:r>
          </w:p>
        </w:tc>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Compliance Certificates and Opinions</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Section 14.8</w:t>
            </w:r>
          </w:p>
        </w:tc>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on Business Days</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Section 14.9</w:t>
            </w:r>
          </w:p>
        </w:tc>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Conflict with Trust Indenture Act</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Section 14.10</w:t>
            </w:r>
          </w:p>
        </w:tc>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Counterparts</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Section 14.11</w:t>
            </w:r>
          </w:p>
        </w:tc>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Severability</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Section 14.12</w:t>
            </w:r>
          </w:p>
        </w:tc>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Compliance Certificates</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Section 14.13</w:t>
            </w:r>
          </w:p>
        </w:tc>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USA Patriot Act</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Section 14.14</w:t>
            </w:r>
          </w:p>
        </w:tc>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Consent to Jurisdiction and Service</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Section 14.15</w:t>
            </w:r>
          </w:p>
        </w:tc>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Force Majeure</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ind w:left="660"/>
        <w:spacing w:after="0"/>
        <w:tabs>
          <w:tab w:leader="none" w:pos="1920" w:val="left"/>
          <w:tab w:leader="none" w:pos="2540" w:val="left"/>
          <w:tab w:leader="none" w:pos="2900" w:val="left"/>
          <w:tab w:leader="none" w:pos="3260" w:val="left"/>
          <w:tab w:leader="none" w:pos="3520" w:val="left"/>
          <w:tab w:leader="none" w:pos="3920" w:val="left"/>
          <w:tab w:leader="none" w:pos="4180" w:val="left"/>
          <w:tab w:leader="none" w:pos="4900" w:val="left"/>
          <w:tab w:leader="none" w:pos="5520" w:val="left"/>
          <w:tab w:leader="none" w:pos="6440" w:val="left"/>
          <w:tab w:leader="none" w:pos="6980" w:val="left"/>
          <w:tab w:leader="none" w:pos="7280" w:val="left"/>
          <w:tab w:leader="none" w:pos="8180" w:val="left"/>
          <w:tab w:leader="none" w:pos="9220" w:val="left"/>
          <w:tab w:leader="none" w:pos="9720" w:val="left"/>
          <w:tab w:leader="none" w:pos="10960" w:val="left"/>
        </w:tabs>
        <w:rPr>
          <w:sz w:val="20"/>
          <w:szCs w:val="20"/>
          <w:color w:val="auto"/>
        </w:rPr>
      </w:pPr>
      <w:r>
        <w:rPr>
          <w:rFonts w:ascii="Times New Roman" w:cs="Times New Roman" w:eastAsia="Times New Roman" w:hAnsi="Times New Roman"/>
          <w:sz w:val="18"/>
          <w:szCs w:val="18"/>
          <w:color w:val="auto"/>
        </w:rPr>
        <w:t>INDENTURE,</w:t>
        <w:tab/>
        <w:t>dated</w:t>
        <w:tab/>
        <w:t>as</w:t>
        <w:tab/>
        <w:t>of</w:t>
        <w:tab/>
        <w:t>,</w:t>
        <w:tab/>
        <w:t>20</w:t>
        <w:tab/>
        <w:t>,</w:t>
        <w:tab/>
        <w:t>among</w:t>
        <w:tab/>
        <w:t>ACM</w:t>
        <w:tab/>
        <w:t>Research,</w:t>
        <w:tab/>
        <w:t>Inc.,</w:t>
        <w:tab/>
        <w:t>a</w:t>
        <w:tab/>
        <w:t>Delaware</w:t>
        <w:tab/>
        <w:t>corporation</w:t>
        <w:tab/>
        <w:t>(the</w:t>
        <w:tab/>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tab/>
        <w:t>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 a national banking association organized under the laws of the United States,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for its lawful corporate purposes, the Company has duly authorized the execution and delivery of this Indenture to provide for the issuance of debt securities (hereinafter referred to as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in an unlimited aggregate principal amount to be issued from time to time in one or more series as in this Indenture provided, as registered Securities without coupons, to be authenticated by the Trustee;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to provide the terms and conditions upon which the Securities are to be authenticated, issued and delivered, the Company has duly authorized the execution of this Indenture;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all things necessary to make this Indenture a valid agreement of the Company, in accordance with its terms, have been done.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purchase of the Securities by the holders thereof, it is mutually covenanted and agreed as follows for the equal and ratable benefit of the holders of Securities: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DEFINITIONS OF TERMS.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terms defined in this Section (except as in this Indenture or any Board Resolution or indenture supplemental hereto otherwise expressly provided or unless the context otherwise requires) for all purposes of this Indenture and of any Board Resolution or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(except as herein or any Board Resolution or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Authenticating Agent</w:t>
      </w:r>
      <w:r>
        <w:rPr>
          <w:rFonts w:ascii="Times New Roman" w:cs="Times New Roman" w:eastAsia="Times New Roman" w:hAnsi="Times New Roman"/>
          <w:sz w:val="18"/>
          <w:szCs w:val="18"/>
          <w:color w:val="auto"/>
        </w:rPr>
        <w:t>” means an authenticating agent with respect to all or any of the series of Securities appointed by the Trustee pursuant to Section 2.10.</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have correlative meanings.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Authorized Officer</w:t>
      </w:r>
      <w:r>
        <w:rPr>
          <w:rFonts w:ascii="Times New Roman" w:cs="Times New Roman" w:eastAsia="Times New Roman" w:hAnsi="Times New Roman"/>
          <w:sz w:val="18"/>
          <w:szCs w:val="18"/>
          <w:color w:val="auto"/>
        </w:rPr>
        <w:t>,” when used with respect to the Company, means the Chairman of the Board of Directors, the Chief Executive Officer, the President, the Chief Operating Officer, the Chief Financial Officer, the Treasurer, any Assistant Treasurer, the Controller, the Secretary or any Executive Vice President or Senior Vice President of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Law</w:t>
      </w:r>
      <w:r>
        <w:rPr>
          <w:rFonts w:ascii="Times New Roman" w:cs="Times New Roman" w:eastAsia="Times New Roman" w:hAnsi="Times New Roman"/>
          <w:sz w:val="18"/>
          <w:szCs w:val="18"/>
          <w:color w:val="auto"/>
        </w:rPr>
        <w:t>” means Title 11, U.S. Code, or any similar federal or state law for the relief of debtors.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 or any duly authorized committee of such Board.</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Resolution</w:t>
      </w:r>
      <w:r>
        <w:rPr>
          <w:rFonts w:ascii="Times New Roman" w:cs="Times New Roman" w:eastAsia="Times New Roman" w:hAnsi="Times New Roman"/>
          <w:sz w:val="18"/>
          <w:szCs w:val="18"/>
          <w:color w:val="auto"/>
        </w:rPr>
        <w:t>” means a copy of one or more resolutions certified by the Secretary or an Assistant Secretary of the Company to have been duly adopted by the Board of Directors, or such committee of the Board of Directors or officers of the Company to which authority to act on behalf of the Board of Directors has been delegated, and to be in full force and effect on the date of such certification, and to be delivered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with respect to any series of Securities, any day other than a day on which federal or state banking institutions in the Borough of Manhattan, the City and State of New York, are authorized or obligated by law, executive order or regulation to close.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ACM Research, Inc, a corporation duly organized and existing under the laws of the State of Delaware, and, subject to the provisions of Article X, shall also include its successors and assigns.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Request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Company Order</w:t>
      </w:r>
      <w:r>
        <w:rPr>
          <w:rFonts w:ascii="Times New Roman" w:cs="Times New Roman" w:eastAsia="Times New Roman" w:hAnsi="Times New Roman"/>
          <w:sz w:val="18"/>
          <w:szCs w:val="18"/>
          <w:color w:val="auto"/>
        </w:rPr>
        <w:t>” means a written request or order signed in the name of the Company by one or more Authorized Officers of the Company, and delivered to the Trustee.</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Trust Office</w:t>
      </w:r>
      <w:r>
        <w:rPr>
          <w:rFonts w:ascii="Times New Roman" w:cs="Times New Roman" w:eastAsia="Times New Roman" w:hAnsi="Times New Roman"/>
          <w:sz w:val="18"/>
          <w:szCs w:val="18"/>
          <w:color w:val="auto"/>
        </w:rPr>
        <w:t>” means the principal office of the Trustee at which, at any particular time, this Indenture shall be administered, which office at the date hereof is located at ; Attention: . With respect to presentation for transfer or exchange, conversions or principal payment, such address shall be ; Attention: , or such other address as the Trustee may designate from time to time by written notice to the Securityholders and the Company, or the principal corporate trust office of any successor Trustee (or such other address as such successor Trustee may designate from time to time by written notice to the Securityholders and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Covenant Defeasance</w:t>
      </w:r>
      <w:r>
        <w:rPr>
          <w:rFonts w:ascii="Times New Roman" w:cs="Times New Roman" w:eastAsia="Times New Roman" w:hAnsi="Times New Roman"/>
          <w:sz w:val="18"/>
          <w:szCs w:val="18"/>
          <w:color w:val="auto"/>
        </w:rPr>
        <w:t>” shall have the meaning set forth in Section 12.3.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act or condition that with notice or lapse of time, or both, would constitute an Event of Default.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with respect to Securities of any series for which the Company shall determine that such Securities will be issued as a Global Security, The Depository Trust Company, New York, New York, another clearing agency, or any successor registered as a clearing agency under the Exchange Act, or other applicable statute or regulation, which, in each case, shall be designated by the Company pursuant to either Section 2.1 or 2.11.</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means, with respect to Securities of a particular series, any event specified in Section 6.1, continued for the period of time, if any, therein designated.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Security</w:t>
      </w:r>
      <w:r>
        <w:rPr>
          <w:rFonts w:ascii="Times New Roman" w:cs="Times New Roman" w:eastAsia="Times New Roman" w:hAnsi="Times New Roman"/>
          <w:sz w:val="18"/>
          <w:szCs w:val="18"/>
          <w:color w:val="auto"/>
        </w:rPr>
        <w:t>” means, with respect to any series of Securities, a Security executed by the Company and delivered by the Trustee to the Depositary or pursuant to the Depositary’s instruction, all in accordance with this Indenture, which shall be registered in the name of the Depositary or its nominee.</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Obligations</w:t>
      </w:r>
      <w:r>
        <w:rPr>
          <w:rFonts w:ascii="Times New Roman" w:cs="Times New Roman" w:eastAsia="Times New Roman" w:hAnsi="Times New Roman"/>
          <w:sz w:val="18"/>
          <w:szCs w:val="18"/>
          <w:color w:val="auto"/>
        </w:rPr>
        <w:t>” means securities that are (a) direct obligations of the U.S. for the payment of which its full faith and credit is pledged or (b) obligations of a Person controlled or supervised by and acting as an agency or instrumentality of the U.S., the payment of which is unconditionally guaranteed as a full faith and credit obligation by the U.S. that, in either case, are not callable or redeemable at the option of the issuer thereof, and shall also include a depositary receipt issued by a bank (as defined in Section 3(a)(2) of the Securities Act)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hereof</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hereunder</w:t>
      </w:r>
      <w:r>
        <w:rPr>
          <w:rFonts w:ascii="Times New Roman" w:cs="Times New Roman" w:eastAsia="Times New Roman" w:hAnsi="Times New Roman"/>
          <w:sz w:val="18"/>
          <w:szCs w:val="18"/>
          <w:color w:val="auto"/>
        </w:rPr>
        <w:t>,” and other words of similar import, refer to this Indenture as a whole and not to any particular Article, Section or other subdivision.</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means this instrument as originally executed or as it may from time to time be supplemented or amended by one or more Board Resolutions or one or more indentures supplemental hereto entered into in accordance with the terms hereof.</w:t>
      </w:r>
    </w:p>
    <w:p>
      <w:pPr>
        <w:spacing w:after="0" w:line="15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Defeasance</w:t>
      </w:r>
      <w:r>
        <w:rPr>
          <w:rFonts w:ascii="Times New Roman" w:cs="Times New Roman" w:eastAsia="Times New Roman" w:hAnsi="Times New Roman"/>
          <w:sz w:val="18"/>
          <w:szCs w:val="18"/>
          <w:color w:val="auto"/>
        </w:rPr>
        <w:t>” shall have the meaning set forth in Section 12.2.</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means a certificate signed by an Authorized Officer of the Company that is delivered to the Trustee in accordance with the terms hereof. Each such certificate shall include the statements provided for in Section 14.7, if and to the extent required by the provisions thereof. An Officer’s Certificate given pursuant to Section 14.12 shall be signed by the principal executive, financial or accounting officer of the Company but need not contain the statements provided for in Section 14.7.</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14.7, if and to the extent required by the provisions thereof.</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w:t>
      </w:r>
      <w:r>
        <w:rPr>
          <w:rFonts w:ascii="Times New Roman" w:cs="Times New Roman" w:eastAsia="Times New Roman" w:hAnsi="Times New Roman"/>
          <w:sz w:val="18"/>
          <w:szCs w:val="18"/>
          <w:color w:val="auto"/>
        </w:rPr>
        <w:t>,” when used with reference to Securities of any series, means, subject to the provisions of Section 8.4, as of any particular time, all Securities of that series theretofore authenticated and delivered by the Trustee under this Indenture, except (a) Securities theretofore canceled by the Trustee, or delivered to the Trustee or any Paying Agent for cancellation or that have previously been canceled; (b) Securities or portions thereof for the payment or redemption of which cash or Governmental Obligations in the necessary amount shall have been irrevocably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in Article III provided, or provision satisfactory to the Trustee shall have been made for giving such notice; and (c) Securities in lieu of or in substitution for which other Securities shall have been authenticated and delivered pursuant to the terms of Section 2.7, unless the Trustee and the Company receive proof satisfactory to them that the replaced Security is held by a protected purchaser.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shall have the meaning set forth in Section 4.2(a).</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joint venture, association, joint-stock company, trust, unincorporated organization, limited liability company or government or other entity, and includes any syndicate or group that would be deemed to be a “person” under Section 13(d)(3) of the Exchange Act.</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Predecessor Security</w:t>
      </w:r>
      <w:r>
        <w:rPr>
          <w:rFonts w:ascii="Times New Roman" w:cs="Times New Roman" w:eastAsia="Times New Roman" w:hAnsi="Times New Roman"/>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2.7 in lieu of a lost, destroyed or stolen Security shall be deemed to evidence the same debt as the lost, destroyed or stolen Security.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when used with respect to any Security to be redeemed, means the date fixed for such redemption by or pursuant to this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shall have the meaning set forth in the recitals to this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Securityholder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holder of 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registered holder</w:t>
      </w:r>
      <w:r>
        <w:rPr>
          <w:rFonts w:ascii="Times New Roman" w:cs="Times New Roman" w:eastAsia="Times New Roman" w:hAnsi="Times New Roman"/>
          <w:sz w:val="18"/>
          <w:szCs w:val="18"/>
          <w:color w:val="auto"/>
        </w:rPr>
        <w:t>,” or other similar term, means the Person or Persons in whose name or names a particular Security shall be registered on the Security Register in accordance with the terms of this Indenture.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Register</w:t>
      </w:r>
      <w:r>
        <w:rPr>
          <w:rFonts w:ascii="Times New Roman" w:cs="Times New Roman" w:eastAsia="Times New Roman" w:hAnsi="Times New Roman"/>
          <w:sz w:val="18"/>
          <w:szCs w:val="18"/>
          <w:color w:val="auto"/>
        </w:rPr>
        <w:t>” shall have the meaning set forth in Section 4.2(a).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Registrar</w:t>
      </w:r>
      <w:r>
        <w:rPr>
          <w:rFonts w:ascii="Times New Roman" w:cs="Times New Roman" w:eastAsia="Times New Roman" w:hAnsi="Times New Roman"/>
          <w:sz w:val="18"/>
          <w:szCs w:val="18"/>
          <w:color w:val="auto"/>
        </w:rPr>
        <w:t>” shall have the meaning set forth in Section 4.2(a).</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Maturity</w:t>
      </w:r>
      <w:r>
        <w:rPr>
          <w:rFonts w:ascii="Times New Roman" w:cs="Times New Roman" w:eastAsia="Times New Roman" w:hAnsi="Times New Roman"/>
          <w:sz w:val="18"/>
          <w:szCs w:val="18"/>
          <w:color w:val="auto"/>
        </w:rPr>
        <w:t>,” when used with respect to any security or any installment of principal thereof or interest thereon, means the date specified in such Security or a coupon representing such installment of interest as the fixed date on which the principal of such Security or such installment of principal or interest is due and payable.</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(i) any corporation at least a majority of whose outstanding Voting Stock shall at the time be owned, directly or indirectly, by such Person or by one or more of its Subsidiaries or by such Person and one or more of its Subsidiaries, (ii) any general partnership, joint venture or similar entity, at least a majority of whose outstanding partnership or similar interests shall at the time be owned by such Person, or by one or more of its Subsidiaries, or by such Person and one or more of its Subsidiaries and (iii) any limited partnership of which such Person or any of its Subsidiaries is a general partner.</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means , and, subject to the provisions of Article VII,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means the Trust Indenture Act of 1939, as amended.</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Officer</w:t>
      </w:r>
      <w:r>
        <w:rPr>
          <w:rFonts w:ascii="Times New Roman" w:cs="Times New Roman" w:eastAsia="Times New Roman" w:hAnsi="Times New Roman"/>
          <w:sz w:val="18"/>
          <w:szCs w:val="18"/>
          <w:color w:val="auto"/>
        </w:rPr>
        <w:t>” means any officer of the Trustee with direct responsibility for the administration of this Indenture and also means, with respect to a particular corporate trust matter hereunder, any other officer of the Trustee to whom such matter is referred because of his or her knowledge of and familiarity with the particular subject.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Uniform Commercial Code</w:t>
      </w:r>
      <w:r>
        <w:rPr>
          <w:rFonts w:ascii="Times New Roman" w:cs="Times New Roman" w:eastAsia="Times New Roman" w:hAnsi="Times New Roman"/>
          <w:sz w:val="18"/>
          <w:szCs w:val="18"/>
          <w:color w:val="auto"/>
        </w:rPr>
        <w:t>” means the New York Uniform Commercial Code as in effect from time to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means the United States of America.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USA Patriot Act</w:t>
      </w:r>
      <w:r>
        <w:rPr>
          <w:rFonts w:ascii="Times New Roman" w:cs="Times New Roman" w:eastAsia="Times New Roman" w:hAnsi="Times New Roman"/>
          <w:sz w:val="18"/>
          <w:szCs w:val="18"/>
          <w:color w:val="auto"/>
        </w:rPr>
        <w:t>” shall have the meaning set forth in Section 14.13.</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 INCORPORATION BY REFERENCE OF TRUST INDENTURE 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Whenever this Indenture refers to a provision of the Trust Indenture Act, the provision is incorporated by reference in and made a part of this Indenture.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Trust Indenture Act terms used in this Indenture that are defined by the Trust Indenture Act, defined by Trust Indenture Act reference to another statute or defined by Commission rule have the meanings assigned to them by such definitions.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 DESCRIPTION, TERMS, EXECUTION, REGISTRATION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EXCHANGE OF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 DESIGNATION AND TERMS OF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(1)the title of the Securities of the series (which shall distinguish the Securities of that series from all other Securities);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(2)the principal amount of the Securities being offered and 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(3)the date or dates on which the principal of the Securities of the series is payable, any original issue discount that may apply to the Securities of that series upon their issuance, the principal amount due at maturity, and the place(s) of payment;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(4)the rate or rates at which the Securities of the series shall bear interest or the manner of calculation of such rate or rates, if any, and whether the rate(s) are fixed or variable;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(5)the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(6)the right, if any, to extend the interest payment periods and the duration of such extension;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(7)the period or periods within which, the price or prices at which and the terms and conditions upon which Securities of the series may be redeemed, in whole or in part, at the option of the Company;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(8)the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(9)the terms of the subordination of any series of subordinated debt;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(10)the form of the Securities of the series including the form of the certificate of authentication for such series;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(11)if other than minimum denominations of two thousand U.S. dollars ($2,000) or any integral multiple of one thousand U.S. dollars ($1,000) in excess thereof, the minimum denominations and multiples in excess thereof in which the Securities of the series shall be issuable;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(12)whether the Securities are issuable as a Global Security and, in such case, the terms and the identity of the Depositary for such series;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(13)whether the Securities will be convertible into or exchangeable for shares of common stock or other securities of the Company or any other Person or other securities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(14)if other than the principal amount thereof, the portion of the principal amount of Securities of the series which shall be payable upon declaration of acceleration of the maturity thereof pursuant to Section 6.1;</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(15)any additional or different Events of Default or restrictive covenants (which may but shall not be required to include, among other restrictions, restrictions on the Company’s ability or the ability of the Company’s Subsidiaries to: incur additional indebtedness; issue additional securities; create liens; pay dividends or make distributions in respect of their capital stock; redeem capital stock; in the case of such Subsidiaries, pay dividends, make distributions or transfer assets; make investments or other restricted payments; sell or otherwise dispose of assets; enter into sale leaseback transactions; engage in transactions with stockholders and affiliates; issue or sell stock of the Company’s Subsidiaries; or effect a consolidation or merger) or financial covenants (which may include, among other financial covenants, financial covenants that require the Company and its Subsidiaries to maintain specified interest coverage, fixed charge, cash flow-based, asset-based or other financial ratios) provided for with respect to the Securities of the series;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(16)if other than U.S. dollars, the coin or currency in which the Securities of the series are denominated (including, but not limited to, foreign currency);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(17)the terms and conditions, if any, upon which the Company shall pay amounts in addition to the stated interest, premium, if any, and principal amounts of the Securities of the series to any Securityholder that is not a “United States person” for federal tax purposes, and the terms and conditions, if any, relating to the Company’s ability to redeem such Securities if the Company is required to pay such additional amounts;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(18)a discussion of any material U.S. federal income tax considerations applicable to the Securities of the series;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(19)any restrictions on transfer, sale or assignment of the Securities of the series;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(20)the terms, if any, relating to any auction or remarketing of the Securities of the series and any security for the obligations of the Company with respect to such Securities;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(21)whether the Securities of the series are secured or unsecured, and if the Securities are secured, the terms of the secured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(22)information describing any book-entry features;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(23)the identity of any guarantors and the terms of the guarantees; and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(24)any and all other terms with respect to the series (which terms shall not be inconsistent with the terms of this Indenture, as amended by any Board Resolution or supplemental indenture, but which may modify or delete any provisions of this Indenture insofar as it applies to such series), including any terms which may be required by or advisable under the laws of the U.S. or regulations thereunder or advisable (as determined by the Company) in connection with the marketing of Securities of that series.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Securities of any one series shall be substantially identical except as to denomination and except as may otherwise be provided in or pursuant to any such Board Resolution or in any indentures supplemental hereto.</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 A series may be reopened for issuances of additional Securities of such series or to establish additional terms of such Securities.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SECTION 2.2 FORM OF SECURITIES AND TRUSTEE’S CERTIFICATE.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2.3 DENOMINATIONS; PROVISIONS FOR PAYMENT.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Securities shall be issuable as registered Securities and in the minimum denomination of two thousand U.S. dollars ($2,000) or any integral multiple of one thousand U.S. dollars ($1,000) in excess thereof, subject to Section 2.1(11). The Securities of a particular series shall bear interest payable on the dates and at the rate specified with respect to that series. The principal of and the interest on the Securities of any series, as well as any premium thereon, shall be payable in the coin or currency of the U.S. that at the time is legal tender for public and private debt, at the office or agency of the Company maintained for that purpose in the United States, which shall initially be an office or agency of the Trustee. Each Security shall be dated the date of its authentication. Interest on the Securities shall be computed on the basis of a 360-day year composed of twelve 30-day months. Presentment and surrender of the Securities is required for final payment thereon.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3.3.</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interest on any Security that is payable, but is not punctually paid or duly provided for, on any Interest Payment Date for Securities of the same series (herein called “</w:t>
      </w:r>
      <w:r>
        <w:rPr>
          <w:rFonts w:ascii="Times New Roman" w:cs="Times New Roman" w:eastAsia="Times New Roman" w:hAnsi="Times New Roman"/>
          <w:sz w:val="18"/>
          <w:szCs w:val="18"/>
          <w:b w:val="1"/>
          <w:bCs w:val="1"/>
          <w:color w:val="auto"/>
        </w:rPr>
        <w:t>Defaulted Interest</w:t>
      </w:r>
      <w:r>
        <w:rPr>
          <w:rFonts w:ascii="Times New Roman" w:cs="Times New Roman" w:eastAsia="Times New Roman" w:hAnsi="Times New Roman"/>
          <w:sz w:val="18"/>
          <w:szCs w:val="18"/>
          <w:color w:val="auto"/>
        </w:rPr>
        <w: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(1)The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(or, in the case of Securities held in book-entry form, by electronic transmission), to each Securityholder at his or her address as it appears in the Security Register (as hereinafter defined),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1" w:name="page42"/>
    <w:bookmarkEnd w:id="4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Unless otherwise set forth in a Board Resolution or one or more indentures supplemental hereto establishing the terms of any series of Securities pursuant to Section 2.1 hereof, the term “</w:t>
      </w:r>
      <w:r>
        <w:rPr>
          <w:rFonts w:ascii="Times New Roman" w:cs="Times New Roman" w:eastAsia="Times New Roman" w:hAnsi="Times New Roman"/>
          <w:sz w:val="18"/>
          <w:szCs w:val="18"/>
          <w:b w:val="1"/>
          <w:bCs w:val="1"/>
          <w:color w:val="auto"/>
        </w:rPr>
        <w:t>regular record date</w:t>
      </w:r>
      <w:r>
        <w:rPr>
          <w:rFonts w:ascii="Times New Roman" w:cs="Times New Roman" w:eastAsia="Times New Roman" w:hAnsi="Times New Roman"/>
          <w:sz w:val="18"/>
          <w:szCs w:val="18"/>
          <w:color w:val="auto"/>
        </w:rPr>
        <w:t>” as used in this Section with respect to a series of Securities and any Interest Payment Date for such series shall mean either the fifteenth day of the month immediately preceding the month in which an Interest Payment Date established for such series pursuant to Section 2.1 hereof shall occur, if such Interest Payment Date is the first day of a month, or the last day of the month immediately preceding the month in which an Interest Payment Date established for such series pursuant to Section 2.1 hereof shall occur, if such Interest Payment Date is the fifteenth day of a month, whether or not such date is a Business Day.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foregoing provisions of this Section and Sections 2.5 and 2.11,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2.4 EXECUTION AND AUTHENTICATION.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Securities shall be signed on behalf of the Company by an Authorized Officer and, to the extent necessary, under its corporate seal. Signatures may be in the form of a manual or facsimile signature.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use the facsimile signature of any Person who shall have been an Authorized Officer thereof, notwithstanding the fact that at the time the Securities shall be authenticated and delivered or disposed of such Person shall have ceased to be such an officer of the Company. To the extent a Company seal is necessary, the Company seal may be in the form of a facsimile of such seal and may be impressed, affixed, imprinted or otherwise reproduced on the Securities. The Securities may contain such notations, legends or endorsements required by law, stock exchange rule or usage. Each Security shall be dated the date of its authentication by the Trustee.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Security shall not be valid until authenticated manually by an authorized signatory of the Trustee.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Company Order for the authentication and delivery of such Securities, signed by an Authorized Officer, and the Trustee in accordance with such Company Order shall authenticate and deliver such Securities.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authenticating such Securities and accepting the additional responsibilities under this Indenture in relation to such Securities, the Trustee shall receive, and (subject to Section 7.1) shall be fully protected in conclusively relying upon, an Opinion of Counsel stating that the form and terms thereof have been established in conformity with the provisions of this Indenture.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2.5 REGISTRATION OF TRANSFER AND EXCHANGE.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(a)Securities of any series may be exchanged upon presentation thereof at the office of the Security Registrar,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(b)Upon surrender for transfer of any Security at the office of the Security Registrar, the Company shall execute, the Trustee shall authenticate and the Security Registrar shall deliver in the name of the transferee or transferees a new Security or Securities of the same series as the Security presented for a like aggregate principal amount.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(c)Except as provided pursuant to Section 2.1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repurchase or redemption of any series, but the Company and the Trustee may require payment of a sum sufficient to cover any tax or other governmental charge in relation thereto, other than exchanges pursuant to Section 2.6, Section 3.3(b) and Section 9.4 not involving any transfer.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 thereof called for redemption, other than the unredeemed portion of any such Securities being redeemed in part.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(e)Successive registrations and registrations of transfers and exchanges as aforesaid may be made from time to time as desired, and each such registration shall be noted on the register for the Securities.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(f)The Security Registrar shall provide to the Trustee such information as the Trustee may reasonably require in connection with the delivery by such Security Registrar of Securities upon transfer or exchange of Securities.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(g)The provisions of this Section 2.5 are, with respect to any Global Security, subject to Section 2.11 hereof.</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(i)Neither the Trustee nor any agent shall have any responsibility or liability for any actions taken or not taken by the Depositary.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2.6 TEMPORARY SECURITIES.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of the Security Registrar, and the Trustee shall authenticate and the Security Registrar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SECTION 2.7 MUTILATED, DESTROYED, LOST OR STOLEN SECURITIES.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case any temporary or definitive Security shall become mutilated or be destroyed, lost or stolen, the Company (subject to the next succeeding sentence) shall execute, and upon a Company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requirements of Section 8-405 of the Uniform Commercial Code shall be met and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delivery of a Company Order.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2.8 CANCELLATION.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the delivery of a Company Order at the time of such surrender, the Trustee shall cancel Securities held by the Trustee in accordance with its standard procedures and applicable law and provide confirmation to the Company of such cancellation if requested by the Company. In the absence of such request, the Trustee may dispose of canceled Securities in accordance with its standard procedures and deliver evidence of cancellation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2.9 BENEFITS OF INDENTURE.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SECTION 2.10 AUTHENTICATING AGENT.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Authenticating Agent may at any time resign by giving written notice of resignation to the Trustee and to the Company. The Trustee may at any time (and upon a Company Request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2.11 GLOBAL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(a)If the Company shall establish pursuant to Section 2.1 that the Securities of a particular series are to be issued as a Global Security, then the Company shall execute and the Trustee shall, in accordance with Section 2.4,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and (iv) shall bear a legend substantially to the following effect: “Except as otherwise provided in Section 2.11 of this Indenture, this Security may be transferred, in whole but not in part, only to another nominee of the Depositary or to a successor Depositary or to a nominee of such successor Depositary.”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(b)Notwithstanding the provisions of Section 2.5, the Global Security of a series may be transferred, in whole but not in part and in the manner provided in Section 2.5, only to another nominee of the Depositary for such series, or to a successor Depositary for such series selected or approved by the Company or to a nominee of such successor Depositary. Nothing in this Section 2.11(b) shall prohibit or render ineffective any transfer of a beneficial interest in a Global Security effected in accordance with the other provisions of this Indenture.</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this Section 2.11 shall no longer be applicable to the Securities of such series and the Company will execute, and subject to Section 2.4,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Persons in whose names such Securities are so registered.</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SECTION 2.12 CUSIP AND ISIN NUMBERS.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in issuing the Securities, shall use CUSIP and ISIN numbers for such Securities (if then generally in use). The Trustee shall use CUSIP and ISIN numbers in notices of redemption as a convenience to holders; provided, however, that neither the Company nor the Trustee shall have any responsibility for any defect in the CUSIP or ISIN number that appears on any Security, check, advice of payment or redemption notice, and any such notice may state that no representation is made as to the correctness of such numbers either as printed on the Securities or as contained in any notice of redemption and that reliance may be placed only on the other identification numbers printed on the Securities, and any such redemption shall not be affected by any defect in or omission of such numbers. The Company shall promptly notify the Trustee in writing in the event of any change in the CUSIP or ISIN numbers.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REDEMPTION OF SECURITIES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SINKING FUND PROVISIONS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3.1 REDEMPTION.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redeem the Securities of any series issued hereunder on and after the dates and in accordance with the terms established for such series pursuant to Section 2.1 hereof. The provisions of this Article III may be modified, amended or replaced, in part or in their entirety, with Securities of any series, by an Officer’s Certificate pursuant to a Board Resolution or one or more indentures supplemental hereto, in each case in accordance with Section 2.1 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3.2 NOTICE OF REDEMPTION.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(a)In case the Company shall desire to exercise such right to redeem all or, as the case may be, a portion of the Securities of any series in accordance with any right the Company reserved for itself to do so pursuant to Section 2.1 hereof, the Company shall, or shall cause the Trustee to, give notice of such redemption to holders of the Securities of such series to be redeemed by mailing, first class postage prepaid (or, in the case of Securities held in book-entry form, by electronic transmission), a notice of such redemption not less than 30 days and not more than 60 days (except in accordance with Articles XI and XII)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Paying Agent or as otherwise established in a Board Resolution or an indenture supplemental hereto,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6" w:name="page47"/>
    <w:bookmarkEnd w:id="46"/>
    <w:p>
      <w:pPr>
        <w:jc w:val="both"/>
        <w:spacing w:after="0" w:line="266" w:lineRule="auto"/>
        <w:rPr>
          <w:sz w:val="20"/>
          <w:szCs w:val="20"/>
          <w:color w:val="auto"/>
        </w:rPr>
      </w:pPr>
      <w:r>
        <w:rPr>
          <w:rFonts w:ascii="Times New Roman" w:cs="Times New Roman" w:eastAsia="Times New Roman" w:hAnsi="Times New Roman"/>
          <w:sz w:val="18"/>
          <w:szCs w:val="18"/>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Trustee shall select, (i) if the Securities are in the form of Global Securities, in accordance with the procedures of the Depositary, or (ii) if the Securities are not in the form of Global Securities, by lot, a portion or portions (equal to one thousand U.S. dollars ($1,000) or any integral multiple thereof) of the principal amount of such Securities of a denomination larger than $2,000, the Securities to be redeemed and shall thereafter promptly notify the Company in writing of the numbers of the Securities to be redeemed, in whole or in part. The Company may, if and whenever it shall so elect, by delivery of instructions signed on its behalf by an Authorized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3.3 PAYMENT UPON REDEMPTION.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2.3).</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3.4 SINKING FUND.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Securities of a series provide for a sinking fund as contemplated by Section 2.1, the provisions of this Section 3.4 and Sections 3.5 and 3.6 shall be applicable to any sinking fund for the retirement of Securities of a series, except as otherwise specified as contemplated by Section 2.1 for Securities of such series.</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Securities of any series is herein referred to as a “</w:t>
      </w:r>
      <w:r>
        <w:rPr>
          <w:rFonts w:ascii="Times New Roman" w:cs="Times New Roman" w:eastAsia="Times New Roman" w:hAnsi="Times New Roman"/>
          <w:sz w:val="18"/>
          <w:szCs w:val="18"/>
          <w:b w:val="1"/>
          <w:bCs w:val="1"/>
          <w:color w:val="auto"/>
        </w:rPr>
        <w:t>mandatory sinking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fund payment</w:t>
      </w:r>
      <w:r>
        <w:rPr>
          <w:rFonts w:ascii="Times New Roman" w:cs="Times New Roman" w:eastAsia="Times New Roman" w:hAnsi="Times New Roman"/>
          <w:sz w:val="18"/>
          <w:szCs w:val="18"/>
          <w:color w:val="auto"/>
        </w:rPr>
        <w:t>,” and any payment in excess of such minimum amount provided for by the terms of Securities of any series is herein referred to as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optional sinking fund payment</w:t>
      </w:r>
      <w:r>
        <w:rPr>
          <w:rFonts w:ascii="Times New Roman" w:cs="Times New Roman" w:eastAsia="Times New Roman" w:hAnsi="Times New Roman"/>
          <w:sz w:val="18"/>
          <w:szCs w:val="18"/>
          <w:color w:val="auto"/>
        </w:rPr>
        <w:t>.” If provided for by the terms of Securities of any series, the cash amount of any sinking fund payment may be subject to reduction as provided in Section 3.5. Each sinking fund payment shall be applied to the redemption of Securities of any series as provided for by the terms of Securities of such series.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SECTION 3.5 SATISFACTION OF SINKING FUND PAYMENTS WITH SECURITIES.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3.6 REDEMPTION OF SECURITIES FOR SINKING FUND.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3.2 and cause notice of the redemption thereof to be given in the name of and at the expense of the Company in the manner provided in Section 3.2. Such notice having been duly given, the redemption of such Securities shall be made upon the terms and in the manner stated in Section 3.3.</w:t>
      </w:r>
    </w:p>
    <w:p>
      <w:pPr>
        <w:spacing w:after="0" w:line="18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4.1 PAYMENT OF PRINCIPAL, PREMIUM AND INTEREST.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(such a wire transfer to be made only to a Securityholder of an aggregate principal amount of Securities of the applicable series in excess of U.S. $2,000,000 and only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(such a wire transfer to be made only to a Securityholder of an aggregate principal amount of Securities of the applicable series in excess of U.S. $2,000,000 and only if such Securityholder shall have furnished wire instructions in writing to the Security Registrar and the Trustee no later than 15 days prior to the relevant payment date).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4.2 PAYING AGENT AND SECURITY REGISTRAR.</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(a)So long as any series of the Securities remain Outstanding, the Company shall maintain an office or agency where Securities may be presented for registration of transfer or for exchange (“</w:t>
      </w:r>
      <w:r>
        <w:rPr>
          <w:rFonts w:ascii="Times New Roman" w:cs="Times New Roman" w:eastAsia="Times New Roman" w:hAnsi="Times New Roman"/>
          <w:sz w:val="18"/>
          <w:szCs w:val="18"/>
          <w:b w:val="1"/>
          <w:bCs w:val="1"/>
          <w:color w:val="auto"/>
        </w:rPr>
        <w:t>Security Registrar</w:t>
      </w:r>
      <w:r>
        <w:rPr>
          <w:rFonts w:ascii="Times New Roman" w:cs="Times New Roman" w:eastAsia="Times New Roman" w:hAnsi="Times New Roman"/>
          <w:sz w:val="18"/>
          <w:szCs w:val="18"/>
          <w:color w:val="auto"/>
        </w:rPr>
        <w:t>”), an office or agency where Securities may be presented for payment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and an office or agency where notices to or upon the Company in respect of the Securities and this Indenture may be served. The Security Registrar shall keep a register for the recordation of, and shall record, the names and addresses of holders of the Securities, the Securities held by each holder and the transfer and exchange of Securities (the “</w:t>
      </w:r>
      <w:r>
        <w:rPr>
          <w:rFonts w:ascii="Times New Roman" w:cs="Times New Roman" w:eastAsia="Times New Roman" w:hAnsi="Times New Roman"/>
          <w:sz w:val="18"/>
          <w:szCs w:val="18"/>
          <w:b w:val="1"/>
          <w:bCs w:val="1"/>
          <w:color w:val="auto"/>
        </w:rPr>
        <w:t>Security Register</w:t>
      </w:r>
      <w:r>
        <w:rPr>
          <w:rFonts w:ascii="Times New Roman" w:cs="Times New Roman" w:eastAsia="Times New Roman" w:hAnsi="Times New Roman"/>
          <w:sz w:val="18"/>
          <w:szCs w:val="18"/>
          <w:color w:val="auto"/>
        </w:rPr>
        <w:t>”). The entries in the Security Register shall be conclusive, and the parties may treat each Person whose name is recorded in the Security Register pursuant to the terms hereof as a holder hereunder for all purposes of this Indenture. The Company may have one or more co-Security Registrars and one or more additional Paying Agents.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hereby initially designates the Trustee as Paying Agent and Security Registrar, and the Corporate Trust Office shall be considered as one such office or agency of the Company for each of the aforesaid purposes, such designation to continue with respect to such office or agency until the Company shall, by written notice signed by an Authorized Officer and delivered to the Trustee, designate some other office or agency for such purposes or any of them.</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8" w:name="page49"/>
    <w:bookmarkEnd w:id="4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(b)The Company shall enter into an appropriate agency agreement with any Security Registrar, Paying Agent, or co-registrar not a party to this Indenture, which shall incorporate the terms of the Trust Indenture Act. The agreement shall implement the provisions of this Indenture that relate to such agent. The Company shall notify the Trustee in writing of the name and address of any such agent. If the Company fails to maintain a Security Registrar or Paying Agent, the Trustee shall act as such and shall be entitled to appropriate compensation therefor. The Company and any of its Subsidiaries may act as Paying Agent, Security Registrar or co-registrar.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(3)that it will, at any time during the continuance of any failure referred to in the preceding paragraph (c)(2) above, upon the written request of the Trustee, forthwith pay to the Trustee all sums so held in trust by such Paying Agent;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(4)that it will perform all other duties of Paying Agent as set forth in this Indenture.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(e)Notwithstanding anything in this Section to the contrary,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4.3 APPOINTMENT TO FILL VACANCY IN OFFICE OF TRUSTEE.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whenever necessary to avoid or fill a vacancy in the office of Trustee, will appoint, in the manner provided in Section 7.10, a Trustee, so that there shall at all times be a Trustee hereunder.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4.4 COMPLIANCE WITH CONSOLIDATION PROVISIONS.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Article X hereof are complied with.</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SECURITYHOLDERS’ LISTS AND REPORTS 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 AND THE TRUSTEE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5.1 COMPANY TO FURNISH TRUSTEE NAMES AND ADDRESSES OF SECURITYHOLDERS.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furnish or cause to be furnished to the Trustee (a) on each regular record date (as defined in Section 2.3)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5.2 PRESERVATION OF INFORMATION; COMMUNICATIONS WITH SECURITYHOLDERS.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(a)The Trustee shall preserve in as current a form as is reasonably practicable the most recent list available to it of the names and addresses of the Securityholders of each series of Securities and shall otherwise comply with Section 312(a) of the Trust Indenture Act. If the Trustee is not the Security Registrar, the Company shall furnish to the Trustee at least ten (10) days before each interest payment date with respect to any series of Securities and at such other times as the Trustee may request in writing a list, in such form and as of such date as the Trustee may reasonably require, of the names and addresses of the Securityholders of such series of Securities, which list may be conclusively relied upon by the Trustee.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(b)Securityholders of any series may communicate pursuant to Section 312(b) of the Trust Indenture Act with other Securityholders of that series or any other series with respect to their rights under this Indenture or the Securities of that series or any other series.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(c)The Company, the Trustee, the Security Registrar and any other Person shall have the protection of Section 312(c) of the Trust Indenture 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5.3 REPORTS BY THE COMPANY.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(a)So long as any Security is Outstanding, the Company shall furnish a copy to the Trustee, within 15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files with the Commission pursuant to Section 13 or Section 15(d) of the Exchange Act; provided, however, the Company shall not be required to deliver to the Trustee any materials for which the Company has sought and received confidential treatment by the Commission; and provided further, so long as such filings by the Company are available on the Commission’s Electronic Data Gathering, Analysis and Retrieval System (EDGAR), such filings shall be deemed to have been furnished to the Trustee for purposes of this Section 5.3 without any further action required by the Company. The Trustee shall have no obligation whatsoever to determine whether or not such filings have been made.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(b)Delivery of such reports, information and documents to the Trustee shall be for informational purposes only and the Trustee’s receipt of such shall not constitute constructive notice of any information contained therein or determinable from information contained therein, including the Company’s compliance with any of the covenants contained in this Indenture (as to which the Trustee is entitled to conclusively rely upon an Officer’s Certificate).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SECTION 5.4 REPORTS BY THE TRUSTEE.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(a)The Trustee shall transmit to the Securityholders such reports concerning the Trustee and its actions under this Indenture as may be required pursuant to the Trust Indenture Act at the time and in the manner provided pursuant thereto. If required by Section 313(a) of the Trust Indenture Act, the Trustee shall, within 60 days after each May 15 following the date of this Indenture, deliver to holders a brief report, dated as of such May 15, which complies with the provisions of such Section 313(a).</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(b)The Trustee shall comply with Section 313(b) and 313(c) of the Trust Indenture Act.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REMEDIES OF THE TRUSTEE AND SECURITYHOLDERS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EVENT OF DEFAULT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6.1 EVENTS OF DEFAULT.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(a)Whenever used herein with respect to Securities of a particular series, unless otherwise specified in a Board Resolution or in an indenture supplemental hereto,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means any one or more of the following events that has occurred and is continuing: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(1)the Company defaults in the payment of any installment of interest upon any of the Securities of that series, as and when the same shall become due and payable, and such default continues for a period of 30 days; provided, however, that a valid extension of an interest payment period by the Company in accordance with the terms of any Board Resolution or indenture supplemental hereto shall not constitute a default in the payment of interest for this purpose;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Board Resolution or indenture supplemental hereto shall not constitute a default in the payment of principal or premium, if any;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(3)the Company defaults in the performance or breach of its covenants or agreements with respect to that series contained in this Indenture or otherwise established with respect to that series of Securities pursuant to Section 2.1 hereof (other than a covenant or agreement that has been expressly included in this Indenture solely for the benefit of one or more series of Securities other than such series) for a period of 90 consecutive days after the date on which written notice of such failure, requiring the same to be remedied and stating that such notice is a “</w:t>
      </w:r>
      <w:r>
        <w:rPr>
          <w:rFonts w:ascii="Times New Roman" w:cs="Times New Roman" w:eastAsia="Times New Roman" w:hAnsi="Times New Roman"/>
          <w:sz w:val="18"/>
          <w:szCs w:val="18"/>
          <w:b w:val="1"/>
          <w:bCs w:val="1"/>
          <w:color w:val="auto"/>
        </w:rPr>
        <w:t>Notice of Default</w:t>
      </w:r>
      <w:r>
        <w:rPr>
          <w:rFonts w:ascii="Times New Roman" w:cs="Times New Roman" w:eastAsia="Times New Roman" w:hAnsi="Times New Roman"/>
          <w:sz w:val="18"/>
          <w:szCs w:val="18"/>
          <w:color w:val="auto"/>
        </w:rPr>
        <w:t>” hereunder, shall have been given to the Company by the Trustee, by registered or certified mail, or to the Company and the Trustee by the holders of at least 25% in principal amount of the Securities of that series at the time Outstanding;</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(4)the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(5)a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60 consecutive days; or</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18"/>
          <w:szCs w:val="18"/>
          <w:color w:val="auto"/>
        </w:rPr>
        <w:t>(6)certain other specified events, as may be provided for in a Board Resolution or in a supplemental indenture.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and the Trustee at the request of the holders of not less than 25% in aggregate principal amount of the Securities of that series then outstanding hereunder shall,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7.6, and (ii) any and all Events of Default under this Indenture with respect to such series, other than the nonpayment of principal of (and premium, if any, on) and accrued and unpaid interest on Securities of that series that shall not have become due by their terms, shall have been remedied or waived as provided in Section 6.6.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such rescission and annulment shall extend to or shall affect any subsequent default or impair any right consequent thereon.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6.2 COLLECTION OF INDEBTEDNESS AND SUITS FOR ENFORCEMENT BY TRUSTEE.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(a)The Company covenants that (i) in case it shall default in the payment of any installment of interest on any of the Securities of a series, and such default shall have continued for a period of 30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or in any payment required by any sinking or analogous fund established with respect to that series as and when the same shall have become due and payable,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7.6.</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(b)If the Company shall fail to pay such amounts forthwith upon such demand, the Trustee, in its own name and as trustee of an express trust, shall be entitled and empowered to institute any action or proceeding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this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7.6.</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7.6, be for the ratable benefit of the holders of the Securities of such series.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6.3 APPLICATION OF MONEYS COLLECTED.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moneys collected by the Trustee pursuant to this Article VI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FIRST: To the payment of reasonable costs and expenses of collection and of all amounts payable to the Trustee under Section 7.6;</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SECOND: To the payment to holders of Securities of the amounts then due and unpaid upon Securities of such series for principal (and premium, if any), amounts payable upon redemption or repurchase of the Securities,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THIRD: To the payment of the remainder, if any, to the Company or any other Person lawfully entitled thereto.</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jc w:val="both"/>
        <w:spacing w:after="0" w:line="282" w:lineRule="auto"/>
        <w:rPr>
          <w:sz w:val="20"/>
          <w:szCs w:val="20"/>
          <w:color w:val="auto"/>
        </w:rPr>
      </w:pPr>
      <w:r>
        <w:rPr>
          <w:rFonts w:ascii="Times New Roman" w:cs="Times New Roman" w:eastAsia="Times New Roman" w:hAnsi="Times New Roman"/>
          <w:sz w:val="18"/>
          <w:szCs w:val="18"/>
          <w:color w:val="auto"/>
        </w:rPr>
        <w:t>The Trustee may fix a record date and payment date for any payment to holders pursuant to this Section 6.3. At least 15 days before such record date, the Company shall mail to each holder and the Trustee a notice that states the record date, the payment date and the amount to be paid.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6.4 LIMITATION ON SUITS.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such indemnity reasonably satisfactory to it against the costs, losses, expenses and liabilities to be incurred therein or thereby; (iv) the Trustee for 60 days after its receipt of such notice, request and offer of indemnity, shall have failed to institute any such action, suit or proceeding and (v) during such 60 day period, the holders of a majority in principal amount of the Securities of that series do not give the Trustee a direction inconsistent with the request.</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(it being understood that the Trustee does not have an affirmative duty to ascertain whether or not such actions or forbearances are unduly prejudicial to such holders). For the protection and enforcement of the provisions of this Section, each and every Securityholder and the Trustee shall be entitled to such relief as can be given either at law or in equity.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6.5 RIGHTS AND REMEDIES CUMULATIVE; DELAY OR OMISSION NOT WAIVER.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(a)Except as otherwise provided in Section 2.7, all powers and remedies given by this Article VI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6.4, every power and remedy given by this Article VI or by law to the Trustee or the Securityholders may be exercised from time to time, and as often as shall be deemed expedient, by the Trustee or by the Securityholders.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6.6 CONTROL BY SECURITYHOLDERS.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determined in accordance with Section 8.4,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Subject to the provisions of Section 7.1, the Trustee shall have the right to decline to follow any such direction if the Trustee in good faith shall, by a Trust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8.4, may on behalf of the holders of all of the Securities of such series waive any past default in the performance of any of the covenants contained herein or established pursuant to Section 2.1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6.1(c)), which requires the consent of each holder affected by such waiver.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SECTION 6.7 UNDERTAKING TO PAY COSTS.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 CERTAIN DUTIES AND RESPONSIBILITIES OF TRUSTEE.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person would exercise or use under the circumstances in the conduct of his or her own affairs. Except during the continuance of an Event of Default with respect to the Securities of a series, in the absence of bad faith on its part, the Trustee may with respect to the Securities of such series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(b)No provision of this Indenture shall be construed to relieve the Trustee from liability for its own negligent action, its own negligent failure to act, or its own willful misconduct, except that: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(i)this subsection (b) shall not be construed to limit the effect of subsection (a) of this Section;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5" w:name="page56"/>
    <w:bookmarkEnd w:id="55"/>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(ii)the Trustee shall not be liable for any error of judgment made in good faith by a Trust Officer or Trust Officers of the Trustee, unless it shall be proved that the Trustee was negligent in ascertaining the pertinent facts;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(iii)the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(c)Whether or not therein expressly so provided, every provision of this Indenture relating to the conduct or affecting the liability of or affording protection to the Trustee shall be subject to the provisions of this Section.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7.2 CERTAIN RIGHTS OF TRUSTEE.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otherwise provided in Section 7.1:</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(a)The Trustee may conclusively rely and shall be fully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(c)The Trustee may consult with counsel and the advice of such counsel or any Opinion of Counsel shall be full and complete authorization and protection in respect of any action taken or suffered or omitted hereunder in good faith and in reliance thereon;</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reasonably satisfactory to it against the costs, losses,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person would exercise or use under the circumstances in the conduct of his or her own affairs;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(e)The Trustee shall not be liable for any action taken or omitted to be taken by it in good faith and believed by it to be authorized or within the discretion or rights or powers conferred upon it by this Indenture;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8.4), and, if so requested, except as otherwise prohibited by applicable law or as would reasonably be expected to violate or result in the loss or impairment of any attorney-client or work product privilege, the Trustee shall be entitled to examine the books, records, and premises of the Company, personally or by agent, or attorney, and it shall incur no liability or additional liability of any kind by reason of such inquiry or investigation; provided, however, that the Company shall not be required to provide access or furnish information in the event of any litigation involving this Indenture or the Securities except pursuant to applicable rules of discovery; and provided, further,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(i)The Trustee shall not be deemed to have notice of any Default or Event of Default unless a Trust Officer has actual knowledge thereof or unless written notice of any event which is in fact such a default is received by the Trustee at the Corporate Trust Office of the Trustee, and such notice references the Securities and this Indenture;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(j)The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(k)The Trustee shall not be required to give any bond or surety in respect of the performance of its powers and duties 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(l)The Trustee shall not be liable for the acts or omissions of any other agent of the Company, and may assume performance by any such agent of its duties, absent written notice or actual knowledge to the contrary;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(m)The permissive right of the Trustee to take the actions permitted by this Indenture shall not be construed as an obligation or duty to do so.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7.3 TRUSTEE NOT RESPONSIBLE FOR RECITALS OR ISSUANCE OR SECURITIES.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(a)The recitals contained herein and in the Securities shall be taken as the statements of the Company, and the Trustee assumes no responsibility for the correctness of the same.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(b)The Trustee makes no representations as to the validity or sufficiency of this Indenture or of the Securities.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2.1, or for the use or application of any moneys received by any Paying Agent other than the Trustee.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7.4 MAY HOLD SECURITIES AND OTHERWISE DEAL WITH THE COMPANY.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the Trust Indenture Act, the Trustee, the Security Registrar, any Paying Agent or any other agent of the Company, in its individual or any other capacity, may buy, own, hold, sell and become the pledgee of any of the Securities or any other evidences of indebtedness or other securities, whether heretofore or hereafter created or issued, of the Company or any Subsidiary or Affiliate of the Company with the same rights it would have if it were not Trustee, Security Registrar, Paying Agent or such other agent; and the Trustee may engage or be interested in any financial or other transaction with the Company or any Subsidiary or Affiliate of the Company, including, without limitation, secured and unsecured loans to the Company or any Subsidiary or Affiliate of the Company; and may maintain any and all other general banking and business relations with the Company and any Subsidiary or Affiliate of the Company with like effect and in the same manner and to the same extent as if the Trustee were not a party to this Indenture; and no implied covenant shall be read into this Indenture against the Trustee in respect of any such matters.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SECTION 7.5 MONEYS HELD IN TRUST.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provisions of Sections 11.2, 12.5, 12.6 and 12.7,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7.6 COMPENSATION AND REIMBURSEMENT.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(a)The Company covenants and agrees to pay to the Trustee, and the Trustee shall be entitled to, such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willful misconduct and except as the Company and Trustee may from time to time agree in writing. The Company also covenants to indemnify the Trustee (and its officers, agents, directors and employees) for, and to hold it harmless against, any loss, costs, damages, liability or expense incurred without negligence or willful misconduct on the part of the Trustee (as determined by a court of competent jurisdiction in a final and non-appealable judgment) and arising out of or in connection with the acceptance or administration of this trust, including the reasonable costs and expenses of defending itself against any claim of liability in the premises.</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(b)To secure the Company’s payment obligations in this Section 7.6, the Trustee shall have a lien prior to the Securities of any series on all money or property held or collected by the Trustee, except that held in trust to pay principal of and interest on particular Securities of such series.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the Trustee incurs expenses or renders services after an Event of Default specified in Section 6.1(a)(4) or 6.1(a)(5) occurs, the expenses and the compensation for the services are intended to constitute expenses of administration under any Bankruptcy Law.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provisions of this Section 7.6 shall survive the resignation or removal of the Trustee and the termination or satisfaction of this Indenture.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7.7 RELIANCE ON OFFICER’S CERTIFICATE.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otherwise provided in Section 7.1,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willful misconduct on the part of the Trustee, be deemed to be conclusively proved and established by an Officer’s Certificate delivered to the Trustee and such certificate, in the absence of negligence or willful misconduct on the part of the Trustee, shall be full warrant to the Trustee for any action taken, suffered or omitted to be taken by it under the provisions of this Indenture upon the faith thereof.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7.8 DISQUALIFICATION; CONFLICTING INTERESTS.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SECTION 7.9 CORPORATE TRUSTEE REQUIRED; ELIGIBILITY.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shall at all times be a Trustee with respect to the Securities issued hereunder which shall at all times be a corporation organized and doing business under the laws of the U.S. or any state or territory thereof or of the District of Columbia, or a corporation or other Person permitted to act as trustee by the Commission, authorized under such laws to exercise corporate trust powers, having (or, in the case of a subsidiary of a bank holding company, its bank holding company parent shall have) a combined capital and surplus of at least one hundred million U.S. dollars ($100,000,000), and subject to supervision or examination by federal, state, territorial, or District of Columbia authority.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7.10 RESIGNATION AND REMOVAL; APPOINTMENT OF SUCCESSOR.</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(a)The Trustee or any successor hereafter appointed may at any time resign with respect to the Securities of one or more series by giving written notice thereof to the Company and by transmitting notice of resignation by mail, first class postage prepaid (or, in the case of Securities held in book-entry form, by electronic transmission),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at the expense of the Company, petition any court of competent jurisdiction for the appointment of a successor trustee with respect to Securities of such series, or the holders of at least 10% in the aggregate principal amount of Outstanding Securities may petition any such court for the appointment of a successor trustee. Such court may thereupon after such notice, if any, as it may deem proper and prescribe, appoint a successor trustee.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(b)In case at any time any one of the following shall occur: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(i)the Trustee shall fail to comply with the provisions of Section 7.8 after written request therefor by the Company or by any Securityholder who has been a bona fide holder of a Security or Securities for at least six months; or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(ii)the Trustee shall cease to be eligible in accordance with the provisions of Section 7.9 and shall fail to resign after written request therefor by the Company or by any such Securityholder; or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(iii)the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9" w:name="page60"/>
    <w:bookmarkEnd w:id="5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(c)The holders of a majority in aggregate principal amount of the Securities of any series at the time Outstanding may, upon 30 days’ notice, remove the Trustee with respect to such series by so notifying the Trustee and the Company and may appoint a successor Trustee for such series with the consent of the Company.</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7.11 ACCEPTANCE OF APPOINTMENT BY SUCCESSOR.</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(d)No successor trustee shall accept its appointment unless at the time of such acceptance such successor trustee shall be qualified and eligible under this Article VII.</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SECTION 7.12 MERGER, CONVERSION, CONSOLIDATION OR SUCCESSION TO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(including the administration of the trust created by this Indenture), shall be the successor of the Trustee hereunder, provided that such corporation shall be qualified under the provisions of Section 7.8 and eligible under the provisions of Section 7.9,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7.13 PREFERENTIAL COLLECTION OF CLAIMS AGAINST THE COMPANY.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7.14 NOTICE OF DEFAULT.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any Default or any Event of Default occurs and is continuing and if the Trustee has notice of such Default or Event of Default, the Trustee shall mail to each Securityholder in the manner and to the extent provided in Section 313(c) of the Trust Indenture Act notice of the Default or Event of Default within 90 days after it occurs (or, the Trustee does not have notice of such Default or Event of Default until after that time, 15 days after the Trustee has notice of such Default or Event of Default), unless such Default or Event of Default has been cured; provided, however, that, except in the case of a default in the payment of the principal of (or premium, if any) or interest on any Security, the Trustee shall be protected in withholding such notice if and so long as the Trustee in good faith determines that the withholding of such notice is in the interest of the Securityholders.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7.15 LIMITATION OF LIABILITY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Trustee is entering into this Indenture and the other documents contemplated hereby and related hereto to which it is a party solely in its capacity as trustee under the Indenture and not in its individual capacity (except as expressly stated herein) and in no case shall the Trustee (or any Person acting as successor trustee under this Indenture) be personally liable for or on account of any of the statements, representations, warranties, covenants or obligations stated to be those of the Company hereunder or thereunder, all such liability, if any, being expressly waived by the parties hereto and any person claiming by, through or under such party.</w:t>
      </w:r>
    </w:p>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CONCERNING THE SECURITYHOLDERS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8.1 EVIDENCE OF ACTION BY SECURITYHOLDERS.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1" w:name="page62"/>
    <w:bookmarkEnd w:id="61"/>
    <w:p>
      <w:pPr>
        <w:jc w:val="both"/>
        <w:spacing w:after="0" w:line="254" w:lineRule="auto"/>
        <w:rPr>
          <w:sz w:val="20"/>
          <w:szCs w:val="20"/>
          <w:color w:val="auto"/>
        </w:rPr>
      </w:pPr>
      <w:r>
        <w:rPr>
          <w:rFonts w:ascii="Times New Roman" w:cs="Times New Roman" w:eastAsia="Times New Roman" w:hAnsi="Times New Roman"/>
          <w:sz w:val="18"/>
          <w:szCs w:val="18"/>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8.2 PROOF OF EXECUTION BY SECURITYHOLDERS.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provisions of Section 7.1, proof of the execution of any instrument by a Securityholder (such proof will not require notarization) or his agent or proxy and proof of the holding by any Person of any of the Securities shall be sufficient if made in the following manner: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(a)The fact and date of the execution by any such Person of any instrument may be proved in any reasonable manner acceptable to the Trustee.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(b)The ownership of Securities shall be proved by the Security Register of such Securities or by a certificate of the Security Registrar thereof.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Trustee may require such additional proof of any matter referred to in this Section as it shall deem necessary.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8.3 WHO MAY BE DEEMED OWNERS.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2.3) interest on such Security and for all other purposes; and neither the Company nor the Trustee nor any Paying Agent nor any Security Registrar shall be affected by any notice to the contrary.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8.4 CERTAIN SECURITIES OWNED BY COMPANY DISREGARDED.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8.5 ACTIONS BINDING ON FUTURE SECURITYHOLDERS.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any time prior to (but not after) the evidencing to the Trustee, as provided in Section 8.1,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INDENTURES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9.1 SUPPLEMENTAL INDENTURES WITHOUT THE CONSENT OF SECURITYHOLDERS.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any supplemental indenture otherwise authorized by this Indenture, the Company and the Trustee may from time to time and at any time enter into an indenture or indentures supplemental hereto (which shall comply with the provisions of the Trust Indenture Act as then in effect), without the consent of the Securityholders, for one or more of the following purposes: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(a)to cure any ambiguity, defect, omission or inconsistency herein or in the Securities of any series (with such ambiguity, defect, omission or inconsistency being evidenced by an Officer’s Certificate);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(b)to comply with Article X, including to evidence the succession of another Person to the Company and the assumption by any such successor of the covenants of the Company herein and in the Securities contained or to provide for the assumption of a guarantor’s obligations to holders of the Securities in the case of a merger or consolidation or sale of all or substantially all of the guarantor’s assets;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(c)to provide for uncertificated Securities in addition to or in place of certificated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uncertificated Securities are issued in registered form for purposes of Section 163(f) of the Code;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(d)to add to the covenants of the Company or any guarantor for the benefit of the holders of the Securities of any series or to surrender any right or power conferred upon the Company or any guarantor;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(e)to provide for the issuance of additional Securities of any series in accordance with the terms of this 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(f)to evidence and provide for the acceptance of appointment hereunder by a successor trustee;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(g)to comply with any requirements of the Commission or any successor in connection with the qualification of this Indenture under the Trust Indenture Act;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(h)to provide security for the Securities of any series or to provide for any guarantee of the Securities of any series or to confirm or evidence the release, termination or discharge of any guarantee of or lien securing the Securities of any series when such release, termination or discharge is permitted by this Indenture;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(i)to make any change that would provide any additional rights or benefits to the holders of the Securities of any series or that does not adversely affect the legal rights under this Indenture of any holder;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(j)to make any amendment to the provision of this Indenture relating to the transfer and legending of the Securities of any series; provided, however, that (1) compliance with this Indenture as so amended would not result in Securities of such series being transferred in violation of the Securities Act or any other applicable securities law and (2) such amendment does not materially and adversely affect the rights of holders to transfer Securities of such series; or</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3" w:name="page64"/>
    <w:bookmarkEnd w:id="6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(k)to conform the text of this Indenture, any guarantee of the Securities of any series or the notes to any provision of the “Description of Debt Securities” included in the prospectus forming a part of the registration statement filed by the Company with the Commission on Form S-3 on March 18, 2024 or any subsequent description of Securities contained in any prospectus supplement, to the extent that such provision in that “Description of Debt Securities” or any subsequent description of Securities contained in any prospectus supplement was intended by the Company to be a verbatim recitation of a provision of this Indenture, any guarantee of the Securities of any series or the Securities, as applicable (with such intention being evidenced by an Officer’s Certificate).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supplemental indenture authorized by the provisions of this Section may be executed by the Company and the Trustee without the consent of the holders of any of the Securities at the time Outstanding, notwithstanding any of the provisions of Section 9.2.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9.2 SUPPLEMENTAL INDENTURES WITH THE CONSENT OF SECURITYHOLDERS.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the consent (evidenced as provided in Section 8.1) of the holders of not less than a majority in aggregate principal amount of the Securities of each series affected by such supplemental indenture or indentures at the time Outstanding (including consents obtained in connection with a tender offer or exchange offer for the Securities), the Company, when authorized by a Board Resolution, and the Trustee may from time to time and at any time enter into an indenture or indentures supplemental hereto (which shall comply with the provisions of the Trust Indenture Act as then in effect) for the purpose of adding any provisions to or changing in any manner or eliminating (or waiving any past default or compliance with) any of the provisions of this Indenture or of any supplemental indenture or of modifying in any manner not covered by Section 9.1 the rights of the holders of the Securities of such series under this Indenture; provided, however, that no such supplemental indenture shall, without the consent of the holders of each Security then Outstanding and affected thereby,</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(a)reduce the percentage or aggregate principal amount of Securities, the holders of which are required to consent to any modification, amendment, supplement or waiver;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(b)reduce the principal amount of, or premium, if any, or rate of interest on, such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(c)extend the fixed maturity of such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(d)extend the time for payment of interest on such Securities;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(e)reduce the redemption or repurchase price of such Securities or change the time at which the Securities may or must be redeemed or repurchased;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(f)change the currency of payment of principal of, or premium, if any, or interest on, such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(g)waive a default in the payment of principal of, premium, if any, or interest on such Securities (except as provided in Section 6.1(c));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(h)voluntarily release a guarantor of such Securities other than in accordance with this Indenture;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(i)reduce the percentage or aggregate principal amount of Outstanding Securities the consent of whose holders is necessary for waiver of compliance with certain provisions of this Indenture or for waiver of certain defaults; or</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(j)impair the right to institute suit for the enforcement of any payment on or after the stated maturity (or, in the case of a redemption, on or after the redemption date) of such Securities.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jc w:val="both"/>
        <w:spacing w:after="0" w:line="282" w:lineRule="auto"/>
        <w:rPr>
          <w:sz w:val="20"/>
          <w:szCs w:val="20"/>
          <w:color w:val="auto"/>
        </w:rPr>
      </w:pPr>
      <w:r>
        <w:rPr>
          <w:rFonts w:ascii="Times New Roman" w:cs="Times New Roman" w:eastAsia="Times New Roman" w:hAnsi="Times New Roman"/>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9.3 EFFECT OF SUPPLEMENTAL INDENTURES.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the execution of any supplemental indenture pursuant to the provisions of this Article IX or of Section 10.1,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9.4 SECURITIES AFFECTED BY SUPPLEMENTAL INDENTURES.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Securities of any series affected by a supplemental indenture, authenticated and delivered after the execution of such supplemental indenture pursuant to the provisions of this Article IX or of Section 10.1,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9.5 EXECUTION OF SUPPLEMENTAL INDENTURES.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shall receive, in addition to the documents required by Section 14.7(a), an Officer’s Certificate and an Opinion of Counsel stating that and as conclusive evidence that any supplemental indenture executed pursuant to this Article IX is authorized or permitted by, and conforms to, the terms of this Article IX, constitutes the legal, valid and binding obligation of the Company, enforceable against it in accordance with its terms (subject to customary exceptions) and that it is proper for the Trustee under the provisions of this Article IX to join in the execution thereof.</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Promptly after the execution by the Company and the Trustee of any supplemental indenture pursuant to the provisions of this Section, the Company shall transmit by mail, first class postage prepaid, a notice, setting forth in general terms the substance of such supplemental indenture, to the Securityholders of all series affected thereby as their names and addresses appear upon the Security Register. Any failure of the Company to mail such notice, or any defect therein, shall not, however, in any way impair or affect the validity of any such supplemental indenture.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SUCCESSOR ENTITY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10.1 COMPANY MAY CONSOLIDATE, ETC.</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Except as provided pursuant to Section 2.1 pursuant to a Board Resolution, and set forth in an Officer’s Certificate, or established in one or more indentures supplemental to this Indenture, 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the Company hereby covenants and agrees that, upon any such consolidation or merger (in each case, if the Company is not the survivor of such transaction), sale, conveyance, transfer or other disposition, (a)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2.1 to be kept or performed by the Company shall be expressly assumed, by supplemental indenture (which shall conform to the provisions of the Trust Indenture Act, as then in effect) executed and delivered to the Trustee by the entity formed by such consolidation, or into which the Company shall have been merged, or by the entity which shall have acquired such property and (b) in the event that the Securities of any series then Outstanding are convertible into or exchangeable for shares of common stock or other securities of the Company, such entity shall, by such supplemental indenture, make provision so that the Securityholders of Securities of that series shall thereafter be entitled to receive upon conversion or exchange of such Securities the number of securities or property to which a holder of the number of shares of common stock or other securities of the Company deliverable upon conversion or exchange of those Securities would have been entitled had such conversion or exchange occurred immediately prior to such consolidation, merger, sale, conveyance, transfer or other disposition.</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SECTION 10.2 SUCCESSOR ENTITY SUBSTITUTED.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(b)In case of any such consolidation, merger, sale, conveyance, transfer or other disposition, such changes in phraseology and form (but not in substance) may be made in the Securities thereafter to be issued as may be appropriate.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(c)Nothing contained in this Article X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10.3 EVIDENCE OF CONSOLIDATION, ETC. TO TRUSTEE.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Trustee, subject to the provisions of Section 7.1, shall receive an Officer’s Certificate and an Opinion of Counsel stating that and as conclusive evidence that any such consolidation, merger, sale, conveyance, transfer or other disposition, and any such assumption, comply with the provisions of this Article X.</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11.1 SATISFACTION AND DISCHARGE OF INDENTURE.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Indenture shall upon Company Request cease to be of further effect with respect to any series of Securities (except as to any surviving rights of registration of transfer or exchange of Securities of such series herein expressly provided for or in the form of Security for such series and any right to receive additional amounts), and the Trustee, at the expense of the Company, shall execute proper instruments acknowledging satisfaction and discharge of this Indenture as to such series, when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(a)either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(i)all Securities of such series theretofore authenticated and delivered (other than (i) Securities which have been destroyed, lost or stolen and which have been replaced or paid as provided in Section 2.7 and (ii) Securities for whose payment cash, Governmental Obligations or a combination thereof has theretofore been deposited in trust or segregated and held in trust by the Company and thereafter repaid to the Company or discharged from such trust, as provided in Sections 12.5 and 12.6) have been delivered to the Trustee for cancellation; or</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6" w:name="page67"/>
    <w:bookmarkEnd w:id="66"/>
    <w:p>
      <w:pPr>
        <w:ind w:left="660"/>
        <w:spacing w:after="0"/>
        <w:rPr>
          <w:sz w:val="20"/>
          <w:szCs w:val="20"/>
          <w:color w:val="auto"/>
        </w:rPr>
      </w:pPr>
      <w:r>
        <w:rPr>
          <w:rFonts w:ascii="Times New Roman" w:cs="Times New Roman" w:eastAsia="Times New Roman" w:hAnsi="Times New Roman"/>
          <w:sz w:val="18"/>
          <w:szCs w:val="18"/>
          <w:color w:val="auto"/>
        </w:rPr>
        <w:t>(ii)all such Securities of such series not theretofore delivered to the Trustee for cancellation, 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(A)have become due and payable by reason of the mailing of a notice of redemption or otherwise, 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(B)will become due and payable within one year,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the Company, in the case of (A) or (B) above, has deposited or caused to be deposited with the Trustee as trust funds in trust specifically pledged as security for, and dedicated solely to, the benefit of the Securityholders of the Securities of that series, cash in U.S. dollars, Governmental Obligations or a combination thereof in such amount as will be sufficient, without consideration of any reinvestment of interest, to pay and discharge the entire indebtedness on such Securities not theretofore delivered to the Trustee for cancellation, for principal (and premium, if any) and interest, if any, to the date of such deposit (in the case of Securities which have become due and payable), or to the Stated Maturity or the Redemption Date, as the case may be;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(b)in respect of clause (a)(ii), no Event of Default has occurred and is continuing on the date of deposit (other than an Event of Default resulting from the borrowing of funds to be applied to such deposit and any similar deposit relating to other indebtedness and, in each case, the granting of certain liens to secure such borrowing);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(c)the Company or any guarantor has paid or caused to be paid all other sums payable hereunder by the Company with respect to such series; and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(d)the Company has delivered irrevocable instructions to the Trustee under this Indenture to apply the deposited money towards the payment of the notes at maturity or on the redemption date, as the case may be.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satisfaction and discharge of this Indenture with respect to such series, the obligations of the Company to the Trustee with respect to such series under this Section 11.1 and Sections 7.6 and 7.10, the obligations of the Company to any Authenticating Agent under Section 2.10, and, if cash, Governmental Obligations or a combination thereof shall have been deposited with the Trustee pursuant to subclause (ii) of clause (a) of this Section, the obligations of the Trustee under Section 11.2, shall survive.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11.2 APPLICATION OF TRUST MONEY.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provisions of Section 12.6, all cash and Governmental Obligations deposited with the Trustee pursuant to Section 11.1 shall be held in trust and applied by the Trustee, in accordance with the provisions of the series of Securities and this Indenture, to the payment, either directly or through any Paying Agent (including the Company or any of its Subsidiaries acting as Paying Agent) as the Trustee may determine, to the Persons entitled thereto, of all sums due and to become due thereon in respect of the principal of (and premium, if any) and interest, if any, on the Securities for which payment of such cash and Governmental Obligations has been deposited with the Trustee.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Trustee or Paying Agent is unable to apply any cash or Governmental Obligations in accordance with this Article XI by reason of any legal proceeding or by reason of any order or judgment of any court or governmental authority enjoining, restraining or otherwise prohibiting such application, then the obligations of the Company under this Indenture and the Securities of such series shall be revived and reinstated as though no deposit had occurred pursuant to this Article XI until such time as the Trustee or Paying Agent is permitted to apply all such cash and Governmental Obligations in accordance with this Article XI; provided, however, that, if the Company has made any payment of principal, premium, if any, interest on or principal of any Securities because of the reinstatement of its obligations, the Company shall be subrogated to the rights of the holders of such Securities to receive such payment from the cash and Governmental Obligations held by the Trustee or Paying Agent.</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DEFEASANCE AND COVENANT DEFEASANCE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12.1 OPTION TO EFFECT LEGAL DEFEASANCE OR COVENANT DEFEASANCE</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at any time, at the option of its Board of Directors evidenced by a Board Resolution set forth in an Officer’s Certificate, elect to have either Section 12.2 or 12.3 hereof be applied to all outstanding Securities of a series upon compliance with the conditions set forth below in this Article XII.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12.2 LEGAL DEFEASANCE AND DISCHARGE</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the Company’s exercise under Section 12.1 hereof of the option applicable to this Section 12.2 with respect to a series of Securities, the Company will, subject to the satisfaction of the conditions set forth in Section 12.4 hereof, be deemed to have been discharged from its obligations with respect to all outstanding Securities of such series on the date the conditions set forth below are satisfied (hereinafter, “</w:t>
      </w:r>
      <w:r>
        <w:rPr>
          <w:rFonts w:ascii="Times New Roman" w:cs="Times New Roman" w:eastAsia="Times New Roman" w:hAnsi="Times New Roman"/>
          <w:sz w:val="18"/>
          <w:szCs w:val="18"/>
          <w:b w:val="1"/>
          <w:bCs w:val="1"/>
          <w:color w:val="auto"/>
        </w:rPr>
        <w:t>Legal Defeasance</w:t>
      </w:r>
      <w:r>
        <w:rPr>
          <w:rFonts w:ascii="Times New Roman" w:cs="Times New Roman" w:eastAsia="Times New Roman" w:hAnsi="Times New Roman"/>
          <w:sz w:val="18"/>
          <w:szCs w:val="18"/>
          <w:color w:val="auto"/>
        </w:rPr>
        <w:t>”). For this purpose, Legal Defeasance means that the Company will be deemed to have paid and discharged the entire Indebtedness represented by the Outstanding Securities of such series, which will thereafter be deemed to be Outstanding only for the purposes of Section 12.5 hereof and the Articles and other Sections of this Indenture referred to in clauses (1) and (2) below, and to have satisfied all their other obligations under such Securities and this Indenture (and the Trustee, on demand of and at the expense of the Company, shall execute proper instruments acknowledging the same), except for the following provisions which will survive until otherwise terminated or discharged hereunder:</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(1)the rights of holders of Outstanding Securities of such series to receive payments in respect of the principal of, premium on, if any, or interest on such Securities when such payments are due from the trust referred to in Section 12.4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(2)the Issuers’ obligations with respect to such Securities under Article 2 and Section 4.2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(3)the rights, powers, trusts, duties and immunities of the Trustee hereunder and the Company’s obligations in connection therewith;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(4)this Article XII.</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compliance with this Article XII, the Company may exercise its option under this Section 12.2 with respect to a series of Securities, notwithstanding the prior exercise of its option under Section 12.3 hereof with respect to such series of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12.3 COVENANT DEFEASANCE</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Upon the Company’s exercise under Section 12.1 hereof of the option applicable to this Section 12.3 with respect to a series of Securities, the Company will, subject to the satisfaction of the conditions set forth in Section 12.4 hereof, be released from its obligations under Section 5.3 and Article X and any additional covenants specified in any Board Resolution or indenture supplemental hereto with respect to the Outstanding Securities of such series on and after the date the conditions set forth in Section 12.4 hereof are satisfied (hereinafter, “</w:t>
      </w:r>
      <w:r>
        <w:rPr>
          <w:rFonts w:ascii="Times New Roman" w:cs="Times New Roman" w:eastAsia="Times New Roman" w:hAnsi="Times New Roman"/>
          <w:sz w:val="17"/>
          <w:szCs w:val="17"/>
          <w:b w:val="1"/>
          <w:bCs w:val="1"/>
          <w:color w:val="auto"/>
        </w:rPr>
        <w:t>Covenant Defeasance</w:t>
      </w:r>
      <w:r>
        <w:rPr>
          <w:rFonts w:ascii="Times New Roman" w:cs="Times New Roman" w:eastAsia="Times New Roman" w:hAnsi="Times New Roman"/>
          <w:sz w:val="17"/>
          <w:szCs w:val="17"/>
          <w:color w:val="auto"/>
        </w:rPr>
        <w:t>”), and the Securities of such series will thereafter be deemed not Outstanding for the purposes of any direction, waiver, consent or declaration or act of holders (and the consequences of any thereof) in connection with such covenants, but will continue to be deemed Outstanding for all other purposes hereunder (it being understood that such Securities will not be deemed Outstanding for accounting purposes). For this purpose, Covenant Defeasance means that, with respect to the Outstanding Securities of such series, the Company may omit to comply with and shall have no liability in respect of any term, condition or limitation set forth in Section 5.3 or Article X and any additional covenants specified in any Board Resolution or indenture supplemental hereto, whether directly or indirectly, by reason of any reference elsewhere herein to any such Section or Article or by reason of any reference in any such Section or Article to any other provision herein or in any other document and such omission to comply shall not constitute a Default or an Event of Default under Section 6.1 hereof with respect to Outstanding Securities of such series, but, except as specified above, the remainder of this Indenture and such Securities shall be unaffected thereby.</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SECTION 12.4 CONDITIONS TO LEGAL OR COVENANT DEFEASANCE</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exercise either Legal Defeasance or Covenant Defeasance under either Section 12.2 or 12.3 hereof with respect to the Outstanding Securities of a particular series: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(1)the Company must irrevocably deposit with the Trustee, in trust, for the benefit of the Securityholders of the Securities of that series, cash in U.S. dollars, Governmental Obligations, or a combination thereof, in such amounts as will be sufficient, in the opinion of a nationally recognized investment bank, appraisal firm, or firm of independent public accountants, to pay the principal of, premium on, if any, and interest on, the Outstanding Securities of such series on the stated date for payment thereof or on the applicable redemption date, as the case may be, and the Company must specify whether the Securities of such series are being defeased to such stated date for payment or to a particular redemption date;</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(2)in the case of an election under Section 12.2 hereof, the Company must deliver to the Trustee an Opinion of Counsel reasonably acceptable to the Trustee confirming that: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(A)the Company has received from, or there has been published by, the Internal Revenue Service a ruling; 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(B)since the date of this Indenture, there has been a change in the applicable federal income tax law,</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either case to the effect that, and based thereon such Opinion of Counsel shall confirm that, the holders of the Outstanding Securities of such series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76" w:lineRule="exact"/>
        <w:rPr>
          <w:sz w:val="20"/>
          <w:szCs w:val="20"/>
          <w:color w:val="auto"/>
        </w:rPr>
      </w:pPr>
    </w:p>
    <w:p>
      <w:pPr>
        <w:jc w:val="both"/>
        <w:ind w:firstLine="656"/>
        <w:spacing w:after="0" w:line="261" w:lineRule="auto"/>
        <w:tabs>
          <w:tab w:leader="none" w:pos="90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12.3 hereof, the Company must deliver to the Trustee an Opinion of Counsel reasonably acceptable to the Trustee confirming that the holders of the Outstanding Securities of such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(4)no Default or Event of Default with respect to the Securities of such series shall have occurred and be continuing on the date of such deposit (other than a Default or Event of Default resulting from the borrowing of funds to be applied to such deposit (and any similar concurrent deposit relating to other Indebtedness), and the granting of liens to secure such borrowings);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(5)such Legal Defeasance or Covenant Defeasance will not result in a breach or violation of, or constitute a default under, any material agreement or instrument (other than this Indenture and the agreements governing any other Indebtedness being defeased, discharged or replaced) to which the Company is a party or by which the Company is bound; and</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(6)the Company must deliver to the Trustee an Officer’s Certificate and an Opinion of Counsel, each stating that all conditions precedent relating to the Legal Defeasance or the Covenant Defeasance have been complied with.</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SECTION 12.5 DEPOSITED MONEY AND GOVERNMENT SECURITIES TO BE HELD IN TRUST; OTHER MISCELLANEOUS PROVISIONS</w:t>
      </w:r>
      <w:r>
        <w:rPr>
          <w:rFonts w:ascii="Times New Roman" w:cs="Times New Roman" w:eastAsia="Times New Roman" w:hAnsi="Times New Roman"/>
          <w:sz w:val="18"/>
          <w:szCs w:val="18"/>
          <w:b w:val="1"/>
          <w:bCs w:val="1"/>
          <w:i w:val="1"/>
          <w:iCs w:val="1"/>
          <w:color w:val="auto"/>
        </w:rPr>
        <w:t>.</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Section 12.6 hereof, all cash and Governmental Obligations (including the proceeds thereof) deposited with the Trustee pursuant to Section 12.4 hereof in respect of the Outstanding Securities of a particular series shall be held in trust and applied by the Trustee, in accordance with the provisions of such Securities and this Indenture, to the payment, either directly or through any Paying Agent (including the Company acting as Paying Agent) as the Trustee may determine, to the holders of such Securities of all sums due and to become due thereon in respect of principal, premium, if any, and interest, but such money need not be segregated from other funds except to the extent required by law.</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9" w:name="page70"/>
    <w:bookmarkEnd w:id="69"/>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pay and indemnify the Trustee against any tax, fee or other charge imposed on or assessed against the cash or Governmental Obligations deposited pursuant to Section 12.4 hereof or the principal and interest received in respect thereof other than any such tax, fee or other charge which by law is for the account of the holders of the Outstanding Securities of the applicable series.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anything in this Article XII to the contrary, the Trustee shall deliver or pay to the Company from time to time upon Company Request any cash or Governmental Obligations held by it as provided in Section 12.4 hereof which, in the opinion of a nationally recognized firm of independent public accountants expressed in a written certification thereof delivered to the Trustee (which may be the opinion delivered under Section 12.4(1) hereof), are in excess of the amount thereof that would then be required to be deposited to effect an equivalent Legal Defeasance or Covenant Defeasance.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12.6 REPAYMENT TO COMPANY</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Any money deposited with the Trustee or any Paying Agent, or then held by the Company, in trust for the payment of the principal of, premium on, if any, or interest on any Security and remaining unclaimed for two years after such principal, premium, if any, or interest, has become due and payable shall, unless otherwise required by mandatory provisions of applicable escheat or abandoned or unclaimed property law, be paid to the Company on its request or (if then held by the Company) will be discharged from such trust; and the holder of such Security will thereafter, as an unsecured general creditor, be permitted to look only to the Company for payment thereof, and all liability of the Trustee or such Paying Agent with respect to such trust money, and all liability of the Company as trustee thereof, will thereupon cease;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Trustee or such Paying Agent, before being required to make any such repayment, may give written notice to the holder of such Security, at such holder’s address as it appears upon the Security Register, that such money remains unclaimed and that, after a date specified therein, which will not be less than 30 days from the date of such notification, any unclaimed balance of such money then remaining will, unless otherwise required by mandatory provisions of applicable escheat or abandoned or unclaimed property law, be repaid to the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12.7 REINSTATEMENT</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If the Trustee or Paying Agent is unable to apply any cash or Governmental Obligations in accordance with Section 12.2 or 12.3 hereof, as the case may be, by reason of any order or judgment of any court or governmental authority enjoining, restraining or otherwise prohibiting such application, then the Company’s obligations under this Indenture and the Securities of the particular series shall be revived and reinstated as though no deposit had occurred pursuant to Section 12.2 or 12.3 hereof until such time as the Trustee or Paying Agent is permitted to apply all such cash or Governmental Obligations in accordance with Section 12.2 or 12.3 hereof, as the case may be;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Company makes any payment of principal of, premium on, if any, or interest on, any Security of the particular series following the reinstatement of its obligations, the Company shall be subrogated to the rights of the holders of such Securities to receive such payment from the cash or Governmental Obligations held by the Trustee or Paying Agent.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 OF INCORPORATORS,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 AND 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13.1 NO RECOURSE.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14.1 EFFECT ON SUCCESSORS AND ASSIGNS.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the covenants, stipulations, promises and agreements in this Indenture made by or on behalf of the Company shall bind its successors and assigns, whether so expressed or not. All the covenants, stipulations, promises and agreements in this Indenture made by or on behalf of the Trustee shall bind its successors and assigns, whether so expressed or not.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14.2 ACTIONS BY SUCCESSOR.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14.3 SURRENDER OF COMPANY POWERS.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14.4 NOTICES.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being deposited in first class mail, postage prepaid, addressed, as follows: ACM Research, Inc., 42307 Osgood Road, Suite I, Fremont, California 9453, Attention: Secretary.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14.5 GOVERNING LAW/WAIVER OF JURY TRIAL.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Indenture and each Security shall be deemed to be a contract made under the internal laws of the State of New York, and for all purposes shall be construed in accordance with the laws of said State, except to the extent that the Trust Indenture Act is applicable. EACH PARTY HERETO HEREBY WAIVES, TO THE FULLEST EXTENT PERMITTED BY APPLICABLE LAW, ANY RIGHT IT MAY HAVE TO A TRIAL BY JURY IN RESPECT OF ANY LITIGATION DIRECTLY OR INDIRECTLY ARISING OUT OF, UNDER OR IN CONNECTION WITH THIS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14.6 TREATMENT OF SECURITIES AS DEBT.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SECTION 14.7 COMPLIANCE CERTIFICATES AND OPINIONS.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(a)Upon any application or demand by the Company to the Trustee to take any action under any of the provisions of this Indenture, the Company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(b)Each certificate or opinion provided for in this Indenture and delivered to the Trustee with respect to compliance with a condition or covenant in this Indenture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14.8 PAYMENTS ON BUSINESS DAYS.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provided pursuant to Section 2.1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14.9 CONFLICT WITH TRUST INDENTURE ACT.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and to the extent that any provision of this Indenture limits, qualifies or conflicts with any provision of the Trust Indenture Act, such Trust Indenture Act provision shall control.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14.10 COUNTERPARTS.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each of which shall be deemed an original, but such counterparts shall together constitute but one and the same instrument.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14.11 SEVERABILITY.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14.12 COMPLIANCE CERTIFICATES.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shall deliver to the Trustee, within 120 days after the end of each fiscal year during which any Securities of any series were outstanding, an Officer’s Certificate stating whether or not the signers know of any Default or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14.12, such compliance shall be determined without regard to any period of grace or requirement of notice provided under this Indenture. If any of the officers of the Company signing such certificate has knowledge of such a Default or Event of Default, the certificate shall describe any such Default or Event of Default and its status.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SECTION 14.13 USA PATRIOT ACT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parties hereto acknowledge that, in accordance with Section 326 of the USA Patriot Act (Title III of Pub. L. 107-56 (signed into law October 26, 2001)) (as amended, modified or supplemented from time to time, the “</w:t>
      </w:r>
      <w:r>
        <w:rPr>
          <w:rFonts w:ascii="Times New Roman" w:cs="Times New Roman" w:eastAsia="Times New Roman" w:hAnsi="Times New Roman"/>
          <w:sz w:val="18"/>
          <w:szCs w:val="18"/>
          <w:b w:val="1"/>
          <w:bCs w:val="1"/>
          <w:color w:val="auto"/>
        </w:rPr>
        <w:t>USA Patriot Act</w:t>
      </w:r>
      <w:r>
        <w:rPr>
          <w:rFonts w:ascii="Times New Roman" w:cs="Times New Roman" w:eastAsia="Times New Roman" w:hAnsi="Times New Roman"/>
          <w:sz w:val="18"/>
          <w:szCs w:val="18"/>
          <w:color w:val="auto"/>
        </w:rPr>
        <w:t>”), the Trustee, like all financial institutions, is required to obtain, verify, and record information that identifies each Person or legal entity that opens an account. The parties to this Indenture agree that they will provide the Trustee with such information as the Trustee may request in order for the Trustee to satisfy the requirements of the USA Patriot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14.14 CONSENT TO JURISDICTION AND SERVICE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the fullest extent permitted by applicable law, each party hereby irrevocably submits to the non-exclusive jurisdiction of any Federal or State court located in the Borough of Manhattan in The City of New York, New York in any suit, action or proceeding based on or arising out of or relating to this Indenture or any Securities and irrevocably agrees that all claims in respect of such suit or proceeding may be determined in any such court. Each party irrevocably waives, to the fullest extent permitted by law, any objection which it may have to the laying of the venue of any such suit, action or proceeding brought in an inconvenient forum. Each party agrees that final judgment in any such suit, action or proceeding brought in such a court shall be conclusive and binding upon such party, and may be enforced in any courts to the jurisdiction of which such party is subject by a suit upon such judgment, provided, that service of process is effected upon such party in the manner specified herein or as otherwise permitted by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14.15 FORCE MAJEURE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caused this Indenture to be duly executed all as of the day and year first above written.</w:t>
      </w:r>
    </w:p>
    <w:p>
      <w:pPr>
        <w:spacing w:after="0" w:line="24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-127635</wp:posOffset>
            </wp:positionV>
            <wp:extent cx="25628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 as Trustee</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26035</wp:posOffset>
            </wp:positionV>
            <wp:extent cx="25628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SIGNATURE PAGE TO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188595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40"/>
          </w:cols>
          <w:pgMar w:left="980" w:top="333" w:right="87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7132320" cy="43180"/>
                    </a:xfrm>
                    <a:prstGeom prst="rect">
                      <a:avLst/>
                    </a:prstGeom>
                    <a:noFill/>
                  </pic:spPr>
                </pic:pic>
              </a:graphicData>
            </a:graphic>
          </wp:anchor>
        </w:drawing>
        <w:t>EXHIBIT 5.1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K&amp;L Gates LLP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 Park Plaza, Twelfth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Irvine, California 92614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18,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42307 Osgood Road, Suite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Fremont, California 94539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acted as counsel to ACM Research, Inc., a Delaware corporation (the “Company”), in connection with the preparation and filing of a Registration Statement on Form S-3 (the “Registration Statement”) with the Securities and Exchange Commission (the “Commission”) under the Securities Act of 1933, as amended (the “Securities Act”), relating to the registration under the Securities Act and the proposed issuance and sale from time to time of an indeterminate amount of the following securities (each, a “Company Security” and collectively, or in any combination, the “Company Securities”):</w:t>
      </w:r>
    </w:p>
    <w:p>
      <w:pPr>
        <w:spacing w:after="0" w:line="180" w:lineRule="exact"/>
        <w:rPr>
          <w:sz w:val="20"/>
          <w:szCs w:val="20"/>
          <w:color w:val="auto"/>
        </w:rPr>
      </w:pPr>
    </w:p>
    <w:p>
      <w:pPr>
        <w:ind w:left="900" w:hanging="244"/>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the Company’s Class A common stock, par value $0.0001 per share (the “Common Stock”);</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classes or series of shares of the Company’s preferred stock, par value $0.0001 per share (the “Preferred Stock”);</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series of debt securities, which may be issued in one or more series (the “Debt Securities”);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1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representing the rights to purchase shares of Common Stock, Preferred Stock, Debt Securities or other Company Securities, or units of two or more of such Company Securities (the “Warrants”); and</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comprised of one or more of the Company Securities in one or more series and in any combination (the “Units”).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opinion letter is being furnished to you in accordance with the requirements of Item 601(b)(5) of Regulation S-K.</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Securities may be issued and sold from time to time on a delayed or continuous basis pursuant to applicable provisions of Rule 415 under the Securities Act, in amounts, at prices and on terms to be determined in light of market conditions at the time of sale, and as set forth in the Registration Statement, any amendment thereto, the prospectus contained therein (the “Base Prospectus”) and any supplements to the Prospectus (each, together with the Base Prospectus, a “Prospectus”). This opinion letter is limited to the laws, including the rules and regulations, as in effect on the date hereof. We are basing this opinion on our understanding that, prior to issuing any Company Securities in connection with the Registration Statement, the Company will advise us in writing of the terms thereof and other information material thereto, will afford us an opportunity to review the operative documents pursuant to which such Company Securities are to be issued (including the Registration Statement, the Prospectus and the applicable supplement to the Prospectus, as then in effect) and will file such supplement or amendment to this opinion letter (if any) as we may reasonably consider necessary or appropriate with respect to such Company Securities. However, we undertake no responsibility to monitor the Company’s future compliance with applicable laws, rules or regulations of the Commission or other governmental body.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75" w:name="page76"/>
    <w:bookmarkEnd w:id="75"/>
    <w:p>
      <w:pPr>
        <w:jc w:val="both"/>
        <w:ind w:firstLine="648"/>
        <w:spacing w:after="0" w:line="270" w:lineRule="auto"/>
        <w:rPr>
          <w:sz w:val="20"/>
          <w:szCs w:val="20"/>
          <w:color w:val="auto"/>
        </w:rPr>
      </w:pPr>
      <w:r>
        <w:rPr>
          <w:rFonts w:ascii="Times New Roman" w:cs="Times New Roman" w:eastAsia="Times New Roman" w:hAnsi="Times New Roman"/>
          <w:sz w:val="17"/>
          <w:szCs w:val="17"/>
          <w:color w:val="auto"/>
        </w:rPr>
        <w:t>For purposes of rendering the opinions expressed below, we have examined the Registration Statement, the Indenture (as hereinafter defined), the Company’s Restated Certificate of Incorporation, as amended (the “Certificate of Incorporation”), and Restated Bylaws (the “Bylaws”), and we have made such investigation of law as we have deemed appropriate. We have examined and relied upon certificates of public officials and, as to certain matters of fact that are material to our opinions, we have also relied on a certificate of an officer of the Company. For purposes of this opinion letter, we have assumed that</w:t>
      </w:r>
    </w:p>
    <w:p>
      <w:pPr>
        <w:spacing w:after="0" w:line="3" w:lineRule="exact"/>
        <w:rPr>
          <w:sz w:val="20"/>
          <w:szCs w:val="20"/>
          <w:color w:val="auto"/>
        </w:rPr>
      </w:pPr>
    </w:p>
    <w:p>
      <w:pPr>
        <w:jc w:val="both"/>
        <w:ind w:firstLine="8"/>
        <w:spacing w:after="0" w:line="253" w:lineRule="auto"/>
        <w:tabs>
          <w:tab w:leader="none" w:pos="2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document submitted to us is accurate and complete; (ii) each such document that is an original is authentic; (iii) each such document that is a copy conforms to an authentic original; and (iv) all signatures on each such document are genuine. We have further assumed the legal capacity of natural persons, and we have assumed that each party to the documents we have examined or relied on has the legal capacity or authority and has satisfied all legal requirements that are applicable to that party to the extent necessary to make such documents enforceable against that party. We have not verified any of these assumptions.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Unless otherwise provided in any Prospectus relating to a particular series of Debt Securities, the Debt Securities will be issued pursuant to an indenture (the “Indenture”) between the Company and a trustee to be named in the applicable supplement to the Prospectus (the “Trustee”), substantially in the form that is included as an exhibit to the Registration Statement. Any Debt Securities may be convertible into shares of Common Stock or other Company Securities. The Company Securities are to be sold pursuant to a purchase, underwriting or similar agreement in substantially the form to be filed under a Current Report on Form 8-K. The Warrants will be issued under one or more warrant agreements (each, a “Warrant Agreement”). The Units will be issued under one or more unit purchase agreements (each, a “Unit Purchase Agreement”).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opinions expressed in this opinion letter are limited to (i) the Delaware General Corporation Law (the “DGCL”), and (ii) with respect to opinion paragraphs 3 through 5, the laws of the State of New York. We are not opining on, and we assume no responsibility for, the applicability to or effect on any of the matters covered herein of (a) any other laws; (b) the laws of any other jurisdiction; or (c) the laws of any county, municipality or other political subdivision or local governmental agency or authority.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upon and subject to the foregoing and in reliance thereon, and subject to the assumptions, qualifications, limitations and exceptions set forth below, we are of the opinion that:</w:t>
      </w:r>
    </w:p>
    <w:p>
      <w:pPr>
        <w:spacing w:after="0" w:line="162" w:lineRule="exact"/>
        <w:rPr>
          <w:sz w:val="20"/>
          <w:szCs w:val="20"/>
          <w:color w:val="auto"/>
        </w:rPr>
      </w:pPr>
    </w:p>
    <w:p>
      <w:pPr>
        <w:jc w:val="both"/>
        <w:ind w:firstLine="656"/>
        <w:spacing w:after="0" w:line="253" w:lineRule="auto"/>
        <w:tabs>
          <w:tab w:leader="none" w:pos="9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shares of Common Stock, when all necessary corporate action of the Company has been taken to approve an issuance of shares of Common Stock, and certificates representing the shares of Common Stock have been duly executed, countersigned, registered and delivered (or non-certificated shares of Common Stock shall have been properly issued), either (i) in accordance with the applicable definitive purchase, underwriting or similar agreement approved by the Board of Directors of the Company (the “Board of Directors”), upon payment of the consideration therefor (which consideration shall not be less than the par value of the Common Stock) provided for in such definitive purchase, underwriting or similar agreement, as applicable, or (ii) upon conversion, exchange or exercise of any other Company Security in accordance with the terms of such Company Security or the instrument governing such Company Security providing for the conversion, exchange or exercise as approved by the Board of Directors, for the consideration therefor set forth in the applicable agreement and approved by the Board of Directors, which consideration shall not be less than the par value of the Common Stock, such shares of Common Stock, including the shares of Common Stock that form a part of any Units, will be validly issued, fully paid and non-assessable.</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jc w:val="both"/>
        <w:ind w:firstLine="656"/>
        <w:spacing w:after="0" w:line="253" w:lineRule="auto"/>
        <w:tabs>
          <w:tab w:leader="none" w:pos="92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shares of any series of Preferred Stock, when all necessary corporate action of the Company has been taken to approve an issuance of shares of Preferred Stock and the terms of the shares of such series, including the adoption of a certificate of designation or amendment to the Certificate of Incorporation fixing and determining the terms of such Preferred Stock conforming to the DGCL, the filing of a certificate or amendment, as applicable, with the Secretary of State of the State of Delaware, the payment in full of any filing fees attendant thereto, and the due reservation of any Common Stock and Preferred Stock for issuance, and certificates representing the shares of the series of Preferred Stock have been duly executed, countersigned, registered and delivered, either (i) in accordance with the applicable definitive purchase, underwriting or similar agreement approved by the Board of Directors, upon payment of the consideration therefor (which consideration shall not be less than the par value of the Preferred Stock) provided for in such definitive purchase, underwriting or similar agreement, as applicable, or (ii) upon conversion, exchange or exercise of any other Company Security in accordance with the terms of such Company Security or the instrument governing such Company Security providing for the conversion, exchange or exercise as approved by the Board of Directors, for the consideration approved by the Board of Directors, which consideration shall not be less than the par value of the Preferred Stock, the shares of such series of Preferred Stock, including the shares of Preferred Stock that form a part of any Units, will be validly issued, fully paid and non-assessable.</w:t>
      </w:r>
    </w:p>
    <w:p>
      <w:pPr>
        <w:spacing w:after="0" w:line="189" w:lineRule="exact"/>
        <w:rPr>
          <w:rFonts w:ascii="Times New Roman" w:cs="Times New Roman" w:eastAsia="Times New Roman" w:hAnsi="Times New Roman"/>
          <w:sz w:val="18"/>
          <w:szCs w:val="18"/>
          <w:color w:val="auto"/>
        </w:rPr>
      </w:pPr>
    </w:p>
    <w:p>
      <w:pPr>
        <w:jc w:val="both"/>
        <w:ind w:firstLine="656"/>
        <w:spacing w:after="0" w:line="254" w:lineRule="auto"/>
        <w:tabs>
          <w:tab w:leader="none" w:pos="91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series of Debt Securities, when (i) the Indenture and the applicable supplement, if any, to the Indenture have been duly authorized and validly executed and delivered by the Company and any Trustee named in the Prospectus relating to such series, (ii) the Indenture, as then and theretofore amended or supplemented, has been duly qualified under the Trust Indenture Act of 1939, as amended (the “TIA”), (iii) the Company has taken all necessary corporate action to authorize and approve the issuance and terms of such series of Debt Securities, (iv) the terms of such Debt Securities and of their issuance and sale have been duly established in conformity with the applicable Indenture, and (v) such Debt Securities have been duly executed, authenticated, issued and delivered in accordance with the provisions of the Indenture and the applicable supplement, the Debt Securities of such series, including the Debt Securities that form a part of any Units, will constitute valid and binding obligations of the Company, enforceable against the Company in accordance with their terms.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jc w:val="both"/>
        <w:ind w:firstLine="656"/>
        <w:spacing w:after="0" w:line="256" w:lineRule="auto"/>
        <w:tabs>
          <w:tab w:leader="none" w:pos="92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Warrants to be issued under a Warrant Agreement, when all necessary corporate action of the Company has been taken to approve the issuance and terms of such Warrants, the terms of the offering thereof and related matters, the Warrant Agreement has been duly executed and delivered by the Company, and such Warrants have been duly executed, issued and delivered in accordance with the terms of the Warrant Agreement and the applicable definitive purchase, underwriting or similar agreement approved by the Board of Directors, upon payment (or delivery) of the consideration therefor provided for therein, such Warrants, including the Warrants that form a part of any Units, will constitute valid and binding obligations of the Company, enforceable against the Company in accordance with their terms.</w:t>
      </w:r>
    </w:p>
    <w:p>
      <w:pPr>
        <w:spacing w:after="0" w:line="187" w:lineRule="exact"/>
        <w:rPr>
          <w:rFonts w:ascii="Times New Roman" w:cs="Times New Roman" w:eastAsia="Times New Roman" w:hAnsi="Times New Roman"/>
          <w:sz w:val="18"/>
          <w:szCs w:val="18"/>
          <w:color w:val="auto"/>
        </w:rPr>
      </w:pPr>
    </w:p>
    <w:p>
      <w:pPr>
        <w:jc w:val="both"/>
        <w:ind w:firstLine="656"/>
        <w:spacing w:after="0" w:line="254" w:lineRule="auto"/>
        <w:tabs>
          <w:tab w:leader="none" w:pos="91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Units, when all necessary corporate action of the Company has been taken to approve and establish the terms of the Units and to authorize and approve the issuance of the Company Securities comprising the Units, the terms of the offering and related matters, the Unit Purchase Agreement has been duly authorized, validly executed and delivered by the parties thereto, and the Units and/or the Company Securities comprising the Units have been duly executed and delivered in accordance with the applicable definitive purchase, underwriting or similar agreement approved by the Board of Directors, upon payment of the consideration provided therefor in the definitive purchase, underwriting or similar agreement as applicable and approved by the Board of Directors, which consideration shall not be less than the aggregate par value of any Common Stock and/or Preferred Stock included in the Units, the Units will constitute valid and binding obligations of the Company, enforceable against the Company in accordance with their terms.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opinions set forth above are subject to the following additional assumptions:</w:t>
      </w:r>
    </w:p>
    <w:p>
      <w:pPr>
        <w:spacing w:after="0" w:line="225" w:lineRule="exact"/>
        <w:rPr>
          <w:sz w:val="20"/>
          <w:szCs w:val="20"/>
          <w:color w:val="auto"/>
        </w:rPr>
      </w:pPr>
    </w:p>
    <w:p>
      <w:pPr>
        <w:ind w:firstLine="656"/>
        <w:spacing w:after="0" w:line="282" w:lineRule="auto"/>
        <w:tabs>
          <w:tab w:leader="none" w:pos="92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 any amendment thereto (including any post-effective amendment) will have become effective under the Securities Act, and such effectiveness will not have been terminated, suspended or rescinded;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2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supplement to the Prospectus will have been prepared and filed with the Commission describing the securities offered thereby and will comply with all applicable laws;</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8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Company Securities offered pursuant to the Registration Statement will be issued and sold (i) in compliance with all applicable federal and state securities laws, rules and regulations and solely in the manner provided in the Registration Statement or any supplement to the Prospectus and (ii) only upon payment of the consideration fixed therefor in accordance with the terms and conditions of any applicable definitive underwriting, purchase, agency or similar agreement relating to the particular offering, including any amendment or supplement thereto (each, a “Purchase Agreement”), and any other applicable agreement relating to the particular offering (including the Indenture, any certificate of designation or amendment to the Certificate of Incorporation, Warrant Agreement, Unit Purchase Agreement or other agreement pursuant to which any Company Securities offered pursuant to the Registration Statement are to be issued or governed, including any amendment or supplement to any of the foregoing), and there will not have occurred any change in law or fact affecting the validity of any of the opinions rendered herein with respect thereto;</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jc w:val="both"/>
        <w:ind w:firstLine="656"/>
        <w:spacing w:after="0" w:line="266" w:lineRule="auto"/>
        <w:tabs>
          <w:tab w:leader="none" w:pos="90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Indenture pursuant to which any Debt Securities offered pursuant to the Registration Statement are to be issued or governed, there will have been no addition, deletion or modification of the terms or provisions contained in the form of Indenture included as Exhibit 4.3 to the Registration Statement that would affect the validity of any of the opinions rendered herein;</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1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definitive Purchase Agreement, any other applicable agreement relating to the particular offering (including any Indenture, certificate of designation or amendment to the Certificate of Incorporation, Warrant Agreement, Unit Purchase Agreement or other agreement pursuant to which any Company Securities offered pursuant to the Registration Statement are to be issued or governed, including any amendment or supplement to any of the foregoing) will have been duly authorized and validly executed and delivered by the Company and each of the other parties thereto;</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2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definitive Purchase Agreement, the Indenture, any certificate of designation or amendment to the Certificate of Incorporation, Warrant Agreement, Unit Purchase Agreement or other agreement pursuant to which any Company Securities offered pursuant to the Registration Statement are to be issued or governed, including any amendment or supplement to any of the foregoing, there will be no terms or provisions contained therein which would affect the validity of any of the opinions rendered herein;</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9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terms of any Company Securities offered pursuant to the Registration Statement, and, when issued, the issuance, sale and delivery thereof, and the incurrence and performance of the obligations thereunder or in respect thereof in accordance with the terms thereof, and any consideration to be received for any such issuance, sale and delivery, (i) will comply with, and will not violate, (A) the Certificate of Incorporation and the Bylaws, as they may be amended or supplemented hereafter, or (B) any applicable law, rule or regulation; (ii) will not result in a default under or breach of any agreement or instrument binding upon the Company; (iii) will comply with any requirement or restriction imposed by any court or governmental body having jurisdiction over the Company, or to which the issuance, sale and delivery of such Securities or the incurrence and performance of such obligations may be subject; and (iv) will not violate any applicable public policy or be subject to any defense in law or equity;</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93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Securities issuable upon conversion, exchange or exercise of any Company Security being offered or issued will be duly authorized, created, and, if appropriate, reserved for issuance upon such conversion, exchange or exercise;</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6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Warrant Agreement or Unit Purchase Agreement will be governed by the laws of the State of New York, and the choice of law selected by the parties to any Purchase Agreement, the Indenture, any Warrant Agreement, Unit Purchase Agreement or other agreement pursuant to which any Company Securities offered pursuant to the Registration Statement are to be issued or governed, including any amendment or supplement to any of the foregoing, is a valid and legal provision; and</w:t>
      </w:r>
    </w:p>
    <w:p>
      <w:pPr>
        <w:spacing w:after="0" w:line="179"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will continue to be validly existing under the laws of the State of Delaware.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the extent that the obligations of the Company under any offered Debt Securities and the Indenture may be dependent upon such matters, we assume for purposes of this opinion letter that (i) the Trustee will be duly organized, validly existing and in good standing under the laws of its jurisdictions of organization; (ii) the Trustee will be duly qualified to engage in the activities contemplated by the Indenture, as it may be amended or supplemented; (iii) the Indenture and any amendment or supplement thereto will have been duly authorized, executed and delivered by the Trustee and will constitute the valid and binding obligation of the Trustee, enforceable against the Trustee in accordance with its terms; (iv) the Trustee will be in compliance, with respect to acting as a trustee under the Indenture and any amendment or supplement thereto, with all applicable laws and regulations; (v) the Trustee will have the requisite organizational and legal power and authority to perform its obligations under the Indenture and any amendment or supplement thereto; and (vi) the Trustee will have been qualified under the TIA, and an appropriate Form T-1 with respect to the Trustee will have been properly filed in accordance with the TIA.</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the extent that the obligations of the Company under any Warrant Agreement, Unit Purchase Agreement or other agreement pursuant to which any Company Securities offered pursuant to the Registration Statement are to be issued or governed, including any amendment or supplement thereto, may be dependent upon such matters, we assume for purposes of this opinion letter that (i) each party to any such agreement other than the Company (including any applicable warrant agent, purchase contract agent or other party acting in a similar capacity with respect to any Company Securities) will be duly organized, validly existing and in good standing under the laws of its jurisdiction of organization; that each such other party will be duly qualified to engage in the activities contemplated thereby; (ii) each such agreement and the applicable Company Securities will have been duly authorized, executed and delivered by each such other party and will constitute the valid and binding obligations of each such other party, enforceable against each such other party in accordance with their terms; (iii) each such other party will be in compliance, with respect to acting in any capacity contemplated by any such agreement, with all applicable laws and regulations; and (iv) each such other party will have the requisite organizational and legal power and authority to perform its obligations under each such agreement.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opinions set forth above are subject to the following additional qualifications: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The opinions in paragraphs 3 through 5 above are subject to the effects of (i) bankruptcy, insolvency, fraudulent conveyance, fraudulent transfer, reorganization, receivership, moratorium and other similar laws relating to or affecting creditors’ rights or remedies generally, (ii) general principles of equity, whether such principles are considered in a proceeding at law or in equity, and (iii) an implied covenant of good faith, reasonableness and fair dealing and standards of materiality.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We express no opinions concerning (i) any provisions that purport to waive or not give effect to rights to notices, defenses, subrogation or other rights or benefits that cannot be effectively waived under applicable law, (ii) any indemnification, exculpation or contribution provisions to the extent that such provisions may be held unenforceable as contrary to public policy or federal or state securities laws, (iii) any waiver of the right to jury trial or forum non conveniens; (iv) any provisions relating to choice of governing law to the extent that the enforceability of any such provision is to be determined by any court other than a court of the State of New York or may be subject to constitutional limitations; (v) (a) consents to or restrictions upon judicial relief,</w:t>
      </w:r>
    </w:p>
    <w:p>
      <w:pPr>
        <w:spacing w:after="0" w:line="3" w:lineRule="exact"/>
        <w:rPr>
          <w:sz w:val="20"/>
          <w:szCs w:val="20"/>
          <w:color w:val="auto"/>
        </w:rPr>
      </w:pPr>
    </w:p>
    <w:p>
      <w:pPr>
        <w:ind w:left="280" w:hanging="272"/>
        <w:spacing w:after="0"/>
        <w:tabs>
          <w:tab w:leader="none" w:pos="2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waivers of rights or defenses with respect to stay, extension or usury laws or waivers of broadly or vaguely stated rights, (c) grants of set-off rights or</w:t>
      </w:r>
    </w:p>
    <w:p>
      <w:pPr>
        <w:spacing w:after="0" w:line="9" w:lineRule="exact"/>
        <w:rPr>
          <w:rFonts w:ascii="Times New Roman" w:cs="Times New Roman" w:eastAsia="Times New Roman" w:hAnsi="Times New Roman"/>
          <w:sz w:val="18"/>
          <w:szCs w:val="18"/>
          <w:color w:val="auto"/>
        </w:rPr>
      </w:pPr>
    </w:p>
    <w:p>
      <w:pPr>
        <w:jc w:val="both"/>
        <w:ind w:firstLine="8"/>
        <w:spacing w:after="0" w:line="252" w:lineRule="auto"/>
        <w:tabs>
          <w:tab w:leader="none" w:pos="26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proxies, powers and trusts; (vi) any provisions that purport to require that amendments or waivers to any agreement must be in writing to be effective; (vii) any provisions that provide for liquidated damages, make-whole or other prepayment premiums or similar payments or other economic remedies to the extent a court were to determine that any such economic remedy constitutes a penalty or (viii) any provisions that relate to judgments in currencies other than U.S. dollars. We also express no opinion concerning whether a U.S. federal court would accept jurisdiction in any dispute, action, suit or proceeding arising out of or relating to any agreement or the transactions contemplated hereby or the net impact or result of any conflict of laws between or among laws of competing jurisdictions and the applicability of the law of any jurisdiction in such instance.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0" w:name="page81"/>
    <w:bookmarkEnd w:id="80"/>
    <w:p>
      <w:pPr>
        <w:ind w:left="660"/>
        <w:spacing w:after="0"/>
        <w:rPr>
          <w:sz w:val="20"/>
          <w:szCs w:val="20"/>
          <w:color w:val="auto"/>
        </w:rPr>
      </w:pPr>
      <w:r>
        <w:rPr>
          <w:rFonts w:ascii="Times New Roman" w:cs="Times New Roman" w:eastAsia="Times New Roman" w:hAnsi="Times New Roman"/>
          <w:sz w:val="18"/>
          <w:szCs w:val="18"/>
          <w:color w:val="auto"/>
        </w:rPr>
        <w:t>We assume no obligation to update or supplement any of our opinions to reflect any changes of law or fact that may occur after the date hereof.</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Registration Statement and to the reference to this firm in the Prospectus under the caption “Legal Matters.” In giving our consent, we do not hereby admit that we are in the category of persons whose consent is required under Section 7 of the Securities Act or the rules and regulations thereunder.</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Yours truly,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K&amp;L Gates LLP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K&amp;L Gates LLP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t>EXHIBIT 23.1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this Registration Statement (Form S-3) and related Prospectus of ACM Research, Inc. for the registration of Class A common stock, preferred stock, debt securities, warrants, units and Class A common stock offered by the Selling Shareholders and to the incorporation by reference therein of our reports dated February 28, 2024, with respect to the consolidated financial statements of ACM Research, Inc., and the effectiveness of internal control over financial reporting of ACM Research, Inc., included in its Annual Report (Form 10-K) for the year ended December 31, 2023, filed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Hua Ming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the People’s Republic of China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43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S-3 of our report dated March 1, 2023 relating to the consolidated financial statements of ACM Research, Inc. and subsidiaries (the "Company") appearing in the Annual Report on Form 10-K of the Company for the year ended December 31, 2023. We also consent to the reference to us under the caption “Experts” in such Registration Statement.</w:t>
      </w:r>
    </w:p>
    <w:p>
      <w:pPr>
        <w:spacing w:after="0" w:line="7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/s/Armanino</w:t>
      </w:r>
      <w:r>
        <w:rPr>
          <w:rFonts w:ascii="Times New Roman" w:cs="Times New Roman" w:eastAsia="Times New Roman" w:hAnsi="Times New Roman"/>
          <w:sz w:val="29"/>
          <w:szCs w:val="29"/>
          <w:color w:val="auto"/>
          <w:vertAlign w:val="superscript"/>
        </w:rPr>
        <w:t>LLP</w:t>
      </w:r>
    </w:p>
    <w:p>
      <w:pPr>
        <w:ind w:left="5620"/>
        <w:spacing w:after="0"/>
        <w:rPr>
          <w:sz w:val="20"/>
          <w:szCs w:val="20"/>
          <w:color w:val="auto"/>
        </w:rPr>
      </w:pPr>
      <w:r>
        <w:rPr>
          <w:rFonts w:ascii="Times New Roman" w:cs="Times New Roman" w:eastAsia="Times New Roman" w:hAnsi="Times New Roman"/>
          <w:sz w:val="18"/>
          <w:szCs w:val="18"/>
          <w:color w:val="auto"/>
        </w:rPr>
        <w:t>San Ramon, California</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43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t>Exhibit 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156845</wp:posOffset>
            </wp:positionV>
            <wp:extent cx="5014595" cy="4972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501459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ACM Research,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42307 Osgood Road, Suite I</w:t>
      </w:r>
    </w:p>
    <w:p>
      <w:pPr>
        <w:spacing w:after="0" w:line="234" w:lineRule="auto"/>
        <w:rPr>
          <w:sz w:val="20"/>
          <w:szCs w:val="20"/>
          <w:color w:val="auto"/>
        </w:rPr>
      </w:pPr>
      <w:r>
        <w:rPr>
          <w:rFonts w:ascii="Arial" w:cs="Arial" w:eastAsia="Arial" w:hAnsi="Arial"/>
          <w:sz w:val="18"/>
          <w:szCs w:val="18"/>
          <w:color w:val="auto"/>
        </w:rPr>
        <w:t>Fremont, California 94539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hereby consent to the incorporation by reference in the Prospectus constituting a part of this Registration Statement on Form S-3 of ACM Research, Inc. (the “Company”) of our report dated March 1, 2022 except for the effects of the common stock split discussed in Notes 1 and 2 to the consolidated financial statements of the Company, as to which the date is March 1, 2023, relating to the consolidated financial statements of the Company, which appear in the Company’s Annual Report on Form 10-K for the year ended December 31, 2023.</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caption “Experts” in the Prospectus.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BDO China Shu Lun Pan Certified Public Accountants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Shenzhen, the People’s Republic of China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431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t>EXHIBIT 107</w:t>
      </w:r>
    </w:p>
    <w:p>
      <w:pPr>
        <w:spacing w:after="0" w:line="2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3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(Form Type)</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Table 1—Newly Registered Securities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280" w:type="dxa"/>
            <w:vAlign w:val="bottom"/>
            <w:tcBorders>
              <w:top w:val="single" w:sz="8" w:color="auto"/>
              <w:left w:val="single" w:sz="8" w:color="auto"/>
              <w:right w:val="single" w:sz="8" w:color="auto"/>
            </w:tcBorders>
          </w:tcPr>
          <w:p>
            <w:pPr>
              <w:spacing w:after="0"/>
              <w:rPr>
                <w:sz w:val="18"/>
                <w:szCs w:val="18"/>
                <w:color w:val="auto"/>
              </w:rPr>
            </w:pPr>
          </w:p>
        </w:tc>
        <w:tc>
          <w:tcPr>
            <w:tcW w:w="1340" w:type="dxa"/>
            <w:vAlign w:val="bottom"/>
            <w:tcBorders>
              <w:top w:val="single" w:sz="8" w:color="auto"/>
              <w:right w:val="single" w:sz="8" w:color="auto"/>
            </w:tcBorders>
          </w:tcPr>
          <w:p>
            <w:pPr>
              <w:spacing w:after="0"/>
              <w:rPr>
                <w:sz w:val="18"/>
                <w:szCs w:val="18"/>
                <w:color w:val="auto"/>
              </w:rPr>
            </w:pPr>
          </w:p>
        </w:tc>
        <w:tc>
          <w:tcPr>
            <w:tcW w:w="1480" w:type="dxa"/>
            <w:vAlign w:val="bottom"/>
            <w:tcBorders>
              <w:top w:val="single" w:sz="8" w:color="auto"/>
              <w:right w:val="single" w:sz="8" w:color="auto"/>
            </w:tcBorders>
          </w:tcPr>
          <w:p>
            <w:pPr>
              <w:spacing w:after="0"/>
              <w:rPr>
                <w:sz w:val="18"/>
                <w:szCs w:val="18"/>
                <w:color w:val="auto"/>
              </w:rPr>
            </w:pPr>
          </w:p>
        </w:tc>
        <w:tc>
          <w:tcPr>
            <w:tcW w:w="1440" w:type="dxa"/>
            <w:vAlign w:val="bottom"/>
            <w:tcBorders>
              <w:top w:val="single" w:sz="8" w:color="auto"/>
              <w:right w:val="single" w:sz="8" w:color="auto"/>
            </w:tcBorders>
          </w:tcPr>
          <w:p>
            <w:pPr>
              <w:spacing w:after="0"/>
              <w:rPr>
                <w:sz w:val="18"/>
                <w:szCs w:val="18"/>
                <w:color w:val="auto"/>
              </w:rPr>
            </w:pP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46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780" w:type="dxa"/>
            <w:vAlign w:val="bottom"/>
            <w:tcBorders>
              <w:top w:val="single" w:sz="8" w:color="auto"/>
              <w:right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Security Class</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Fee Calculation</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4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21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Amount of Registration</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14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900" w:type="dxa"/>
            <w:vAlign w:val="bottom"/>
          </w:tcPr>
          <w:p>
            <w:pPr>
              <w:spacing w:after="0"/>
              <w:rPr>
                <w:sz w:val="18"/>
                <w:szCs w:val="18"/>
                <w:color w:val="auto"/>
              </w:rPr>
            </w:pPr>
          </w:p>
        </w:tc>
        <w:tc>
          <w:tcPr>
            <w:tcW w:w="1220" w:type="dxa"/>
            <w:vAlign w:val="bottom"/>
            <w:tcBorders>
              <w:right w:val="single" w:sz="8" w:color="auto"/>
            </w:tcBorders>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0" w:type="dxa"/>
            <w:vAlign w:val="bottom"/>
          </w:tcPr>
          <w:p>
            <w:pPr>
              <w:spacing w:after="0"/>
              <w:rPr>
                <w:sz w:val="1"/>
                <w:szCs w:val="1"/>
                <w:color w:val="auto"/>
              </w:rPr>
            </w:pPr>
          </w:p>
        </w:tc>
      </w:tr>
      <w:tr>
        <w:trPr>
          <w:trHeight w:val="238"/>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46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7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80" w:type="dxa"/>
            <w:vAlign w:val="bottom"/>
            <w:tcBorders>
              <w:left w:val="single" w:sz="8" w:color="auto"/>
              <w:right w:val="single" w:sz="8" w:color="auto"/>
            </w:tcBorders>
            <w:shd w:val="clear" w:color="auto" w:fill="99CCFF"/>
          </w:tcPr>
          <w:p>
            <w:pPr>
              <w:spacing w:after="0"/>
              <w:rPr>
                <w:sz w:val="16"/>
                <w:szCs w:val="16"/>
                <w:color w:val="auto"/>
              </w:rPr>
            </w:pPr>
          </w:p>
        </w:tc>
        <w:tc>
          <w:tcPr>
            <w:tcW w:w="1340" w:type="dxa"/>
            <w:vAlign w:val="bottom"/>
            <w:tcBorders>
              <w:right w:val="single" w:sz="8" w:color="auto"/>
            </w:tcBorders>
            <w:shd w:val="clear" w:color="auto" w:fill="99CCFF"/>
          </w:tcPr>
          <w:p>
            <w:pPr>
              <w:jc w:val="center"/>
              <w:spacing w:after="0" w:line="191" w:lineRule="exact"/>
              <w:rPr>
                <w:sz w:val="20"/>
                <w:szCs w:val="20"/>
                <w:color w:val="auto"/>
              </w:rPr>
            </w:pPr>
            <w:r>
              <w:rPr>
                <w:rFonts w:ascii="Times New Roman" w:cs="Times New Roman" w:eastAsia="Times New Roman" w:hAnsi="Times New Roman"/>
                <w:sz w:val="18"/>
                <w:szCs w:val="18"/>
                <w:color w:val="auto"/>
              </w:rPr>
              <w:t>Class A</w:t>
            </w:r>
          </w:p>
        </w:tc>
        <w:tc>
          <w:tcPr>
            <w:tcW w:w="1480" w:type="dxa"/>
            <w:vAlign w:val="bottom"/>
            <w:tcBorders>
              <w:right w:val="single" w:sz="8" w:color="auto"/>
            </w:tcBorders>
            <w:shd w:val="clear" w:color="auto" w:fill="99CCFF"/>
          </w:tcPr>
          <w:p>
            <w:pPr>
              <w:spacing w:after="0"/>
              <w:rPr>
                <w:sz w:val="16"/>
                <w:szCs w:val="16"/>
                <w:color w:val="auto"/>
              </w:rPr>
            </w:pPr>
          </w:p>
        </w:tc>
        <w:tc>
          <w:tcPr>
            <w:tcW w:w="1440" w:type="dxa"/>
            <w:vAlign w:val="bottom"/>
            <w:tcBorders>
              <w:right w:val="single" w:sz="8" w:color="auto"/>
            </w:tcBorders>
            <w:shd w:val="clear" w:color="auto" w:fill="99CCFF"/>
          </w:tcPr>
          <w:p>
            <w:pPr>
              <w:spacing w:after="0"/>
              <w:rPr>
                <w:sz w:val="16"/>
                <w:szCs w:val="16"/>
                <w:color w:val="auto"/>
              </w:rPr>
            </w:pPr>
          </w:p>
        </w:tc>
        <w:tc>
          <w:tcPr>
            <w:tcW w:w="1340" w:type="dxa"/>
            <w:vAlign w:val="bottom"/>
            <w:tcBorders>
              <w:right w:val="single" w:sz="8" w:color="auto"/>
            </w:tcBorders>
            <w:shd w:val="clear" w:color="auto" w:fill="99CCFF"/>
          </w:tcPr>
          <w:p>
            <w:pPr>
              <w:spacing w:after="0"/>
              <w:rPr>
                <w:sz w:val="16"/>
                <w:szCs w:val="16"/>
                <w:color w:val="auto"/>
              </w:rPr>
            </w:pPr>
          </w:p>
        </w:tc>
        <w:tc>
          <w:tcPr>
            <w:tcW w:w="580" w:type="dxa"/>
            <w:vAlign w:val="bottom"/>
            <w:shd w:val="clear" w:color="auto" w:fill="99CCFF"/>
          </w:tcPr>
          <w:p>
            <w:pPr>
              <w:spacing w:after="0"/>
              <w:rPr>
                <w:sz w:val="16"/>
                <w:szCs w:val="16"/>
                <w:color w:val="auto"/>
              </w:rPr>
            </w:pPr>
          </w:p>
        </w:tc>
        <w:tc>
          <w:tcPr>
            <w:tcW w:w="300" w:type="dxa"/>
            <w:vAlign w:val="bottom"/>
            <w:shd w:val="clear" w:color="auto" w:fill="99CCFF"/>
          </w:tcPr>
          <w:p>
            <w:pPr>
              <w:spacing w:after="0"/>
              <w:rPr>
                <w:sz w:val="16"/>
                <w:szCs w:val="16"/>
                <w:color w:val="auto"/>
              </w:rPr>
            </w:pPr>
          </w:p>
        </w:tc>
        <w:tc>
          <w:tcPr>
            <w:tcW w:w="580" w:type="dxa"/>
            <w:vAlign w:val="bottom"/>
            <w:tcBorders>
              <w:right w:val="single" w:sz="8" w:color="auto"/>
            </w:tcBorders>
            <w:shd w:val="clear" w:color="auto" w:fill="99CCFF"/>
          </w:tcPr>
          <w:p>
            <w:pPr>
              <w:spacing w:after="0"/>
              <w:rPr>
                <w:sz w:val="16"/>
                <w:szCs w:val="16"/>
                <w:color w:val="auto"/>
              </w:rPr>
            </w:pPr>
          </w:p>
        </w:tc>
        <w:tc>
          <w:tcPr>
            <w:tcW w:w="780" w:type="dxa"/>
            <w:vAlign w:val="bottom"/>
            <w:tcBorders>
              <w:right w:val="single" w:sz="8" w:color="auto"/>
            </w:tcBorders>
            <w:shd w:val="clear" w:color="auto" w:fill="99CCFF"/>
          </w:tcPr>
          <w:p>
            <w:pPr>
              <w:spacing w:after="0"/>
              <w:rPr>
                <w:sz w:val="16"/>
                <w:szCs w:val="16"/>
                <w:color w:val="auto"/>
              </w:rPr>
            </w:pPr>
          </w:p>
        </w:tc>
        <w:tc>
          <w:tcPr>
            <w:tcW w:w="900" w:type="dxa"/>
            <w:vAlign w:val="bottom"/>
            <w:shd w:val="clear" w:color="auto" w:fill="99CCFF"/>
          </w:tcPr>
          <w:p>
            <w:pPr>
              <w:spacing w:after="0"/>
              <w:rPr>
                <w:sz w:val="16"/>
                <w:szCs w:val="16"/>
                <w:color w:val="auto"/>
              </w:rPr>
            </w:pPr>
          </w:p>
        </w:tc>
        <w:tc>
          <w:tcPr>
            <w:tcW w:w="300" w:type="dxa"/>
            <w:vAlign w:val="bottom"/>
            <w:shd w:val="clear" w:color="auto" w:fill="99CCFF"/>
          </w:tcPr>
          <w:p>
            <w:pPr>
              <w:spacing w:after="0"/>
              <w:rPr>
                <w:sz w:val="16"/>
                <w:szCs w:val="16"/>
                <w:color w:val="auto"/>
              </w:rPr>
            </w:pPr>
          </w:p>
        </w:tc>
        <w:tc>
          <w:tcPr>
            <w:tcW w:w="920" w:type="dxa"/>
            <w:vAlign w:val="bottom"/>
            <w:tcBorders>
              <w:right w:val="single" w:sz="8" w:color="auto"/>
            </w:tcBorders>
            <w:shd w:val="clear" w:color="auto" w:fill="99CC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vMerge w:val="restart"/>
            <w:shd w:val="clear" w:color="auto" w:fill="99CC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340" w:type="dxa"/>
            <w:vAlign w:val="bottom"/>
            <w:tcBorders>
              <w:right w:val="single" w:sz="8" w:color="auto"/>
            </w:tcBorders>
            <w:shd w:val="clear" w:color="auto" w:fill="99CCFF"/>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480" w:type="dxa"/>
            <w:vAlign w:val="bottom"/>
            <w:tcBorders>
              <w:right w:val="single" w:sz="8" w:color="auto"/>
            </w:tcBorders>
            <w:shd w:val="clear" w:color="auto" w:fill="99CCFF"/>
          </w:tcPr>
          <w:p>
            <w:pPr>
              <w:jc w:val="center"/>
              <w:spacing w:after="0"/>
              <w:rPr>
                <w:sz w:val="20"/>
                <w:szCs w:val="20"/>
                <w:color w:val="auto"/>
              </w:rPr>
            </w:pPr>
            <w:r>
              <w:rPr>
                <w:rFonts w:ascii="Times New Roman" w:cs="Times New Roman" w:eastAsia="Times New Roman" w:hAnsi="Times New Roman"/>
                <w:sz w:val="18"/>
                <w:szCs w:val="18"/>
                <w:color w:val="auto"/>
                <w:w w:val="99"/>
              </w:rPr>
              <w:t>Rules 456(b) and</w:t>
            </w:r>
          </w:p>
        </w:tc>
        <w:tc>
          <w:tcPr>
            <w:tcW w:w="1440" w:type="dxa"/>
            <w:vAlign w:val="bottom"/>
            <w:tcBorders>
              <w:right w:val="single" w:sz="8" w:color="auto"/>
            </w:tcBorders>
            <w:vMerge w:val="restart"/>
            <w:shd w:val="clear" w:color="auto" w:fill="99CC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340" w:type="dxa"/>
            <w:vAlign w:val="bottom"/>
            <w:tcBorders>
              <w:right w:val="single" w:sz="8" w:color="auto"/>
            </w:tcBorders>
            <w:vMerge w:val="restart"/>
            <w:shd w:val="clear" w:color="auto" w:fill="99CCFF"/>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1460" w:type="dxa"/>
            <w:vAlign w:val="bottom"/>
            <w:tcBorders>
              <w:right w:val="single" w:sz="8" w:color="auto"/>
            </w:tcBorders>
            <w:gridSpan w:val="3"/>
            <w:vMerge w:val="restart"/>
            <w:shd w:val="clear" w:color="auto" w:fill="99CCFF"/>
          </w:tcPr>
          <w:p>
            <w:pPr>
              <w:jc w:val="center"/>
              <w:ind w:right="20"/>
              <w:spacing w:after="0"/>
              <w:rPr>
                <w:sz w:val="20"/>
                <w:szCs w:val="20"/>
                <w:color w:val="auto"/>
              </w:rPr>
            </w:pPr>
            <w:r>
              <w:rPr>
                <w:rFonts w:ascii="Times New Roman" w:cs="Times New Roman" w:eastAsia="Times New Roman" w:hAnsi="Times New Roman"/>
                <w:sz w:val="18"/>
                <w:szCs w:val="18"/>
                <w:color w:val="auto"/>
              </w:rPr>
              <w:t>$(1)(2)</w:t>
            </w:r>
          </w:p>
        </w:tc>
        <w:tc>
          <w:tcPr>
            <w:tcW w:w="780" w:type="dxa"/>
            <w:vAlign w:val="bottom"/>
            <w:tcBorders>
              <w:right w:val="single" w:sz="8" w:color="auto"/>
            </w:tcBorders>
            <w:vMerge w:val="restart"/>
            <w:shd w:val="clear" w:color="auto" w:fill="99CC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200" w:type="dxa"/>
            <w:vAlign w:val="bottom"/>
            <w:gridSpan w:val="2"/>
            <w:vMerge w:val="restart"/>
            <w:shd w:val="clear" w:color="auto" w:fill="99CCFF"/>
          </w:tcPr>
          <w:p>
            <w:pPr>
              <w:jc w:val="center"/>
              <w:ind w:left="810"/>
              <w:spacing w:after="0"/>
              <w:rPr>
                <w:sz w:val="20"/>
                <w:szCs w:val="20"/>
                <w:color w:val="auto"/>
              </w:rPr>
            </w:pPr>
            <w:r>
              <w:rPr>
                <w:rFonts w:ascii="Times New Roman" w:cs="Times New Roman" w:eastAsia="Times New Roman" w:hAnsi="Times New Roman"/>
                <w:sz w:val="18"/>
                <w:szCs w:val="18"/>
                <w:color w:val="auto"/>
                <w:w w:val="99"/>
              </w:rPr>
              <w:t>$(3)</w:t>
            </w:r>
          </w:p>
        </w:tc>
        <w:tc>
          <w:tcPr>
            <w:tcW w:w="920" w:type="dxa"/>
            <w:vAlign w:val="bottom"/>
            <w:tcBorders>
              <w:right w:val="single" w:sz="8" w:color="auto"/>
            </w:tcBorders>
            <w:shd w:val="clear" w:color="auto" w:fill="99CCFF"/>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vMerge w:val="continue"/>
            <w:shd w:val="clear" w:color="auto" w:fill="99CCFF"/>
          </w:tcPr>
          <w:p>
            <w:pPr>
              <w:spacing w:after="0"/>
              <w:rPr>
                <w:sz w:val="10"/>
                <w:szCs w:val="10"/>
                <w:color w:val="auto"/>
              </w:rPr>
            </w:pPr>
          </w:p>
        </w:tc>
        <w:tc>
          <w:tcPr>
            <w:tcW w:w="1340" w:type="dxa"/>
            <w:vAlign w:val="bottom"/>
            <w:tcBorders>
              <w:right w:val="single" w:sz="8" w:color="auto"/>
            </w:tcBorders>
            <w:vMerge w:val="restart"/>
            <w:shd w:val="clear" w:color="auto" w:fill="99CCFF"/>
          </w:tcPr>
          <w:p>
            <w:pPr>
              <w:jc w:val="center"/>
              <w:spacing w:after="0"/>
              <w:rPr>
                <w:sz w:val="20"/>
                <w:szCs w:val="20"/>
                <w:color w:val="auto"/>
              </w:rPr>
            </w:pPr>
            <w:r>
              <w:rPr>
                <w:rFonts w:ascii="Times New Roman" w:cs="Times New Roman" w:eastAsia="Times New Roman" w:hAnsi="Times New Roman"/>
                <w:sz w:val="18"/>
                <w:szCs w:val="18"/>
                <w:color w:val="auto"/>
                <w:w w:val="99"/>
              </w:rPr>
              <w:t>$0.0001 par</w:t>
            </w:r>
          </w:p>
        </w:tc>
        <w:tc>
          <w:tcPr>
            <w:tcW w:w="1480" w:type="dxa"/>
            <w:vAlign w:val="bottom"/>
            <w:tcBorders>
              <w:right w:val="single" w:sz="8" w:color="auto"/>
            </w:tcBorders>
            <w:vMerge w:val="restart"/>
            <w:shd w:val="clear" w:color="auto" w:fill="99CCFF"/>
          </w:tcPr>
          <w:p>
            <w:pPr>
              <w:jc w:val="center"/>
              <w:spacing w:after="0"/>
              <w:rPr>
                <w:sz w:val="20"/>
                <w:szCs w:val="20"/>
                <w:color w:val="auto"/>
              </w:rPr>
            </w:pPr>
            <w:r>
              <w:rPr>
                <w:rFonts w:ascii="Times New Roman" w:cs="Times New Roman" w:eastAsia="Times New Roman" w:hAnsi="Times New Roman"/>
                <w:sz w:val="18"/>
                <w:szCs w:val="18"/>
                <w:color w:val="auto"/>
                <w:w w:val="97"/>
              </w:rPr>
              <w:t>457(r)</w:t>
            </w:r>
          </w:p>
        </w:tc>
        <w:tc>
          <w:tcPr>
            <w:tcW w:w="1440" w:type="dxa"/>
            <w:vAlign w:val="bottom"/>
            <w:tcBorders>
              <w:right w:val="single" w:sz="8" w:color="auto"/>
            </w:tcBorders>
            <w:vMerge w:val="continue"/>
            <w:shd w:val="clear" w:color="auto" w:fill="99CCFF"/>
          </w:tcPr>
          <w:p>
            <w:pPr>
              <w:spacing w:after="0"/>
              <w:rPr>
                <w:sz w:val="10"/>
                <w:szCs w:val="10"/>
                <w:color w:val="auto"/>
              </w:rPr>
            </w:pPr>
          </w:p>
        </w:tc>
        <w:tc>
          <w:tcPr>
            <w:tcW w:w="1340" w:type="dxa"/>
            <w:vAlign w:val="bottom"/>
            <w:tcBorders>
              <w:right w:val="single" w:sz="8" w:color="auto"/>
            </w:tcBorders>
            <w:vMerge w:val="continue"/>
            <w:shd w:val="clear" w:color="auto" w:fill="99CCFF"/>
          </w:tcPr>
          <w:p>
            <w:pPr>
              <w:spacing w:after="0"/>
              <w:rPr>
                <w:sz w:val="10"/>
                <w:szCs w:val="10"/>
                <w:color w:val="auto"/>
              </w:rPr>
            </w:pPr>
          </w:p>
        </w:tc>
        <w:tc>
          <w:tcPr>
            <w:tcW w:w="1460" w:type="dxa"/>
            <w:vAlign w:val="bottom"/>
            <w:tcBorders>
              <w:right w:val="single" w:sz="8" w:color="auto"/>
            </w:tcBorders>
            <w:gridSpan w:val="3"/>
            <w:vMerge w:val="continue"/>
            <w:shd w:val="clear" w:color="auto" w:fill="99CCFF"/>
          </w:tcPr>
          <w:p>
            <w:pPr>
              <w:spacing w:after="0"/>
              <w:rPr>
                <w:sz w:val="10"/>
                <w:szCs w:val="10"/>
                <w:color w:val="auto"/>
              </w:rPr>
            </w:pPr>
          </w:p>
        </w:tc>
        <w:tc>
          <w:tcPr>
            <w:tcW w:w="780" w:type="dxa"/>
            <w:vAlign w:val="bottom"/>
            <w:tcBorders>
              <w:right w:val="single" w:sz="8" w:color="auto"/>
            </w:tcBorders>
            <w:vMerge w:val="continue"/>
            <w:shd w:val="clear" w:color="auto" w:fill="99CCFF"/>
          </w:tcPr>
          <w:p>
            <w:pPr>
              <w:spacing w:after="0"/>
              <w:rPr>
                <w:sz w:val="10"/>
                <w:szCs w:val="10"/>
                <w:color w:val="auto"/>
              </w:rPr>
            </w:pPr>
          </w:p>
        </w:tc>
        <w:tc>
          <w:tcPr>
            <w:tcW w:w="1200" w:type="dxa"/>
            <w:vAlign w:val="bottom"/>
            <w:gridSpan w:val="2"/>
            <w:vMerge w:val="continue"/>
            <w:shd w:val="clear" w:color="auto" w:fill="99CCFF"/>
          </w:tcPr>
          <w:p>
            <w:pPr>
              <w:spacing w:after="0"/>
              <w:rPr>
                <w:sz w:val="10"/>
                <w:szCs w:val="10"/>
                <w:color w:val="auto"/>
              </w:rPr>
            </w:pPr>
          </w:p>
        </w:tc>
        <w:tc>
          <w:tcPr>
            <w:tcW w:w="920" w:type="dxa"/>
            <w:vAlign w:val="bottom"/>
            <w:tcBorders>
              <w:right w:val="single" w:sz="8" w:color="auto"/>
            </w:tcBorders>
            <w:shd w:val="clear" w:color="auto" w:fill="99CC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80" w:type="dxa"/>
            <w:vAlign w:val="bottom"/>
            <w:tcBorders>
              <w:left w:val="single" w:sz="8" w:color="auto"/>
              <w:right w:val="single" w:sz="8" w:color="auto"/>
            </w:tcBorders>
            <w:shd w:val="clear" w:color="auto" w:fill="99CCFF"/>
          </w:tcPr>
          <w:p>
            <w:pPr>
              <w:spacing w:after="0"/>
              <w:rPr>
                <w:sz w:val="7"/>
                <w:szCs w:val="7"/>
                <w:color w:val="auto"/>
              </w:rPr>
            </w:pPr>
          </w:p>
        </w:tc>
        <w:tc>
          <w:tcPr>
            <w:tcW w:w="1340" w:type="dxa"/>
            <w:vAlign w:val="bottom"/>
            <w:tcBorders>
              <w:right w:val="single" w:sz="8" w:color="auto"/>
            </w:tcBorders>
            <w:vMerge w:val="continue"/>
            <w:shd w:val="clear" w:color="auto" w:fill="99CCFF"/>
          </w:tcPr>
          <w:p>
            <w:pPr>
              <w:spacing w:after="0"/>
              <w:rPr>
                <w:sz w:val="7"/>
                <w:szCs w:val="7"/>
                <w:color w:val="auto"/>
              </w:rPr>
            </w:pPr>
          </w:p>
        </w:tc>
        <w:tc>
          <w:tcPr>
            <w:tcW w:w="1480" w:type="dxa"/>
            <w:vAlign w:val="bottom"/>
            <w:tcBorders>
              <w:right w:val="single" w:sz="8" w:color="auto"/>
            </w:tcBorders>
            <w:vMerge w:val="continue"/>
            <w:shd w:val="clear" w:color="auto" w:fill="99CCFF"/>
          </w:tcPr>
          <w:p>
            <w:pPr>
              <w:spacing w:after="0"/>
              <w:rPr>
                <w:sz w:val="7"/>
                <w:szCs w:val="7"/>
                <w:color w:val="auto"/>
              </w:rPr>
            </w:pPr>
          </w:p>
        </w:tc>
        <w:tc>
          <w:tcPr>
            <w:tcW w:w="1440" w:type="dxa"/>
            <w:vAlign w:val="bottom"/>
            <w:tcBorders>
              <w:right w:val="single" w:sz="8" w:color="auto"/>
            </w:tcBorders>
            <w:shd w:val="clear" w:color="auto" w:fill="99CCFF"/>
          </w:tcPr>
          <w:p>
            <w:pPr>
              <w:spacing w:after="0"/>
              <w:rPr>
                <w:sz w:val="7"/>
                <w:szCs w:val="7"/>
                <w:color w:val="auto"/>
              </w:rPr>
            </w:pPr>
          </w:p>
        </w:tc>
        <w:tc>
          <w:tcPr>
            <w:tcW w:w="1340" w:type="dxa"/>
            <w:vAlign w:val="bottom"/>
            <w:tcBorders>
              <w:right w:val="single" w:sz="8" w:color="auto"/>
            </w:tcBorders>
            <w:shd w:val="clear" w:color="auto" w:fill="99CCFF"/>
          </w:tcPr>
          <w:p>
            <w:pPr>
              <w:spacing w:after="0"/>
              <w:rPr>
                <w:sz w:val="7"/>
                <w:szCs w:val="7"/>
                <w:color w:val="auto"/>
              </w:rPr>
            </w:pPr>
          </w:p>
        </w:tc>
        <w:tc>
          <w:tcPr>
            <w:tcW w:w="580" w:type="dxa"/>
            <w:vAlign w:val="bottom"/>
            <w:shd w:val="clear" w:color="auto" w:fill="99CCFF"/>
          </w:tcPr>
          <w:p>
            <w:pPr>
              <w:spacing w:after="0"/>
              <w:rPr>
                <w:sz w:val="7"/>
                <w:szCs w:val="7"/>
                <w:color w:val="auto"/>
              </w:rPr>
            </w:pPr>
          </w:p>
        </w:tc>
        <w:tc>
          <w:tcPr>
            <w:tcW w:w="300" w:type="dxa"/>
            <w:vAlign w:val="bottom"/>
            <w:shd w:val="clear" w:color="auto" w:fill="99CCFF"/>
          </w:tcPr>
          <w:p>
            <w:pPr>
              <w:spacing w:after="0"/>
              <w:rPr>
                <w:sz w:val="7"/>
                <w:szCs w:val="7"/>
                <w:color w:val="auto"/>
              </w:rPr>
            </w:pPr>
          </w:p>
        </w:tc>
        <w:tc>
          <w:tcPr>
            <w:tcW w:w="580" w:type="dxa"/>
            <w:vAlign w:val="bottom"/>
            <w:tcBorders>
              <w:right w:val="single" w:sz="8" w:color="auto"/>
            </w:tcBorders>
            <w:shd w:val="clear" w:color="auto" w:fill="99CCFF"/>
          </w:tcPr>
          <w:p>
            <w:pPr>
              <w:spacing w:after="0"/>
              <w:rPr>
                <w:sz w:val="7"/>
                <w:szCs w:val="7"/>
                <w:color w:val="auto"/>
              </w:rPr>
            </w:pPr>
          </w:p>
        </w:tc>
        <w:tc>
          <w:tcPr>
            <w:tcW w:w="780" w:type="dxa"/>
            <w:vAlign w:val="bottom"/>
            <w:tcBorders>
              <w:right w:val="single" w:sz="8" w:color="auto"/>
            </w:tcBorders>
            <w:shd w:val="clear" w:color="auto" w:fill="99CCFF"/>
          </w:tcPr>
          <w:p>
            <w:pPr>
              <w:spacing w:after="0"/>
              <w:rPr>
                <w:sz w:val="7"/>
                <w:szCs w:val="7"/>
                <w:color w:val="auto"/>
              </w:rPr>
            </w:pPr>
          </w:p>
        </w:tc>
        <w:tc>
          <w:tcPr>
            <w:tcW w:w="900" w:type="dxa"/>
            <w:vAlign w:val="bottom"/>
            <w:shd w:val="clear" w:color="auto" w:fill="99CCFF"/>
          </w:tcPr>
          <w:p>
            <w:pPr>
              <w:spacing w:after="0"/>
              <w:rPr>
                <w:sz w:val="7"/>
                <w:szCs w:val="7"/>
                <w:color w:val="auto"/>
              </w:rPr>
            </w:pPr>
          </w:p>
        </w:tc>
        <w:tc>
          <w:tcPr>
            <w:tcW w:w="300" w:type="dxa"/>
            <w:vAlign w:val="bottom"/>
            <w:shd w:val="clear" w:color="auto" w:fill="99CCFF"/>
          </w:tcPr>
          <w:p>
            <w:pPr>
              <w:spacing w:after="0"/>
              <w:rPr>
                <w:sz w:val="7"/>
                <w:szCs w:val="7"/>
                <w:color w:val="auto"/>
              </w:rPr>
            </w:pPr>
          </w:p>
        </w:tc>
        <w:tc>
          <w:tcPr>
            <w:tcW w:w="920" w:type="dxa"/>
            <w:vAlign w:val="bottom"/>
            <w:tcBorders>
              <w:right w:val="single" w:sz="8" w:color="auto"/>
            </w:tcBorders>
            <w:shd w:val="clear" w:color="auto" w:fill="99CCFF"/>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bottom w:val="single" w:sz="8" w:color="auto"/>
              <w:right w:val="single" w:sz="8" w:color="auto"/>
            </w:tcBorders>
            <w:shd w:val="clear" w:color="auto" w:fill="99CCFF"/>
          </w:tcPr>
          <w:p>
            <w:pPr>
              <w:spacing w:after="0"/>
              <w:rPr>
                <w:sz w:val="20"/>
                <w:szCs w:val="20"/>
                <w:color w:val="auto"/>
              </w:rPr>
            </w:pPr>
          </w:p>
        </w:tc>
        <w:tc>
          <w:tcPr>
            <w:tcW w:w="1340" w:type="dxa"/>
            <w:vAlign w:val="bottom"/>
            <w:tcBorders>
              <w:bottom w:val="single" w:sz="8" w:color="auto"/>
              <w:right w:val="single" w:sz="8" w:color="auto"/>
            </w:tcBorders>
            <w:shd w:val="clear" w:color="auto" w:fill="99CCFF"/>
          </w:tcPr>
          <w:p>
            <w:pPr>
              <w:jc w:val="center"/>
              <w:spacing w:after="0"/>
              <w:rPr>
                <w:sz w:val="20"/>
                <w:szCs w:val="20"/>
                <w:color w:val="auto"/>
              </w:rPr>
            </w:pPr>
            <w:r>
              <w:rPr>
                <w:rFonts w:ascii="Times New Roman" w:cs="Times New Roman" w:eastAsia="Times New Roman" w:hAnsi="Times New Roman"/>
                <w:sz w:val="18"/>
                <w:szCs w:val="18"/>
                <w:color w:val="auto"/>
              </w:rPr>
              <w:t>value per share</w:t>
            </w:r>
          </w:p>
        </w:tc>
        <w:tc>
          <w:tcPr>
            <w:tcW w:w="1480" w:type="dxa"/>
            <w:vAlign w:val="bottom"/>
            <w:tcBorders>
              <w:bottom w:val="single" w:sz="8" w:color="auto"/>
              <w:right w:val="single" w:sz="8" w:color="auto"/>
            </w:tcBorders>
            <w:shd w:val="clear" w:color="auto" w:fill="99CCFF"/>
          </w:tcPr>
          <w:p>
            <w:pPr>
              <w:spacing w:after="0"/>
              <w:rPr>
                <w:sz w:val="20"/>
                <w:szCs w:val="20"/>
                <w:color w:val="auto"/>
              </w:rPr>
            </w:pPr>
          </w:p>
        </w:tc>
        <w:tc>
          <w:tcPr>
            <w:tcW w:w="1440" w:type="dxa"/>
            <w:vAlign w:val="bottom"/>
            <w:tcBorders>
              <w:bottom w:val="single" w:sz="8" w:color="auto"/>
              <w:right w:val="single" w:sz="8" w:color="auto"/>
            </w:tcBorders>
            <w:shd w:val="clear" w:color="auto" w:fill="99CCFF"/>
          </w:tcPr>
          <w:p>
            <w:pPr>
              <w:spacing w:after="0"/>
              <w:rPr>
                <w:sz w:val="20"/>
                <w:szCs w:val="20"/>
                <w:color w:val="auto"/>
              </w:rPr>
            </w:pPr>
          </w:p>
        </w:tc>
        <w:tc>
          <w:tcPr>
            <w:tcW w:w="1340" w:type="dxa"/>
            <w:vAlign w:val="bottom"/>
            <w:tcBorders>
              <w:bottom w:val="single" w:sz="8" w:color="auto"/>
              <w:right w:val="single" w:sz="8" w:color="auto"/>
            </w:tcBorders>
            <w:shd w:val="clear" w:color="auto" w:fill="99CCFF"/>
          </w:tcPr>
          <w:p>
            <w:pPr>
              <w:spacing w:after="0"/>
              <w:rPr>
                <w:sz w:val="20"/>
                <w:szCs w:val="20"/>
                <w:color w:val="auto"/>
              </w:rPr>
            </w:pPr>
          </w:p>
        </w:tc>
        <w:tc>
          <w:tcPr>
            <w:tcW w:w="580" w:type="dxa"/>
            <w:vAlign w:val="bottom"/>
            <w:tcBorders>
              <w:bottom w:val="single" w:sz="8" w:color="auto"/>
            </w:tcBorders>
            <w:shd w:val="clear" w:color="auto" w:fill="99CCFF"/>
          </w:tcPr>
          <w:p>
            <w:pPr>
              <w:spacing w:after="0"/>
              <w:rPr>
                <w:sz w:val="20"/>
                <w:szCs w:val="20"/>
                <w:color w:val="auto"/>
              </w:rPr>
            </w:pPr>
          </w:p>
        </w:tc>
        <w:tc>
          <w:tcPr>
            <w:tcW w:w="300" w:type="dxa"/>
            <w:vAlign w:val="bottom"/>
            <w:tcBorders>
              <w:bottom w:val="single" w:sz="8" w:color="auto"/>
            </w:tcBorders>
            <w:shd w:val="clear" w:color="auto" w:fill="99CCFF"/>
          </w:tcPr>
          <w:p>
            <w:pPr>
              <w:spacing w:after="0"/>
              <w:rPr>
                <w:sz w:val="20"/>
                <w:szCs w:val="20"/>
                <w:color w:val="auto"/>
              </w:rPr>
            </w:pPr>
          </w:p>
        </w:tc>
        <w:tc>
          <w:tcPr>
            <w:tcW w:w="580" w:type="dxa"/>
            <w:vAlign w:val="bottom"/>
            <w:tcBorders>
              <w:bottom w:val="single" w:sz="8" w:color="auto"/>
              <w:right w:val="single" w:sz="8" w:color="auto"/>
            </w:tcBorders>
            <w:shd w:val="clear" w:color="auto" w:fill="99CCFF"/>
          </w:tcPr>
          <w:p>
            <w:pPr>
              <w:spacing w:after="0"/>
              <w:rPr>
                <w:sz w:val="20"/>
                <w:szCs w:val="20"/>
                <w:color w:val="auto"/>
              </w:rPr>
            </w:pPr>
          </w:p>
        </w:tc>
        <w:tc>
          <w:tcPr>
            <w:tcW w:w="780" w:type="dxa"/>
            <w:vAlign w:val="bottom"/>
            <w:tcBorders>
              <w:bottom w:val="single" w:sz="8" w:color="auto"/>
              <w:right w:val="single" w:sz="8" w:color="auto"/>
            </w:tcBorders>
            <w:shd w:val="clear" w:color="auto" w:fill="99CCFF"/>
          </w:tcPr>
          <w:p>
            <w:pPr>
              <w:spacing w:after="0"/>
              <w:rPr>
                <w:sz w:val="20"/>
                <w:szCs w:val="20"/>
                <w:color w:val="auto"/>
              </w:rPr>
            </w:pPr>
          </w:p>
        </w:tc>
        <w:tc>
          <w:tcPr>
            <w:tcW w:w="900" w:type="dxa"/>
            <w:vAlign w:val="bottom"/>
            <w:tcBorders>
              <w:bottom w:val="single" w:sz="8" w:color="auto"/>
            </w:tcBorders>
            <w:shd w:val="clear" w:color="auto" w:fill="99CCFF"/>
          </w:tcPr>
          <w:p>
            <w:pPr>
              <w:spacing w:after="0"/>
              <w:rPr>
                <w:sz w:val="20"/>
                <w:szCs w:val="20"/>
                <w:color w:val="auto"/>
              </w:rPr>
            </w:pPr>
          </w:p>
        </w:tc>
        <w:tc>
          <w:tcPr>
            <w:tcW w:w="300" w:type="dxa"/>
            <w:vAlign w:val="bottom"/>
            <w:tcBorders>
              <w:bottom w:val="single" w:sz="8" w:color="auto"/>
            </w:tcBorders>
            <w:shd w:val="clear" w:color="auto" w:fill="99CCFF"/>
          </w:tcPr>
          <w:p>
            <w:pPr>
              <w:spacing w:after="0"/>
              <w:rPr>
                <w:sz w:val="20"/>
                <w:szCs w:val="20"/>
                <w:color w:val="auto"/>
              </w:rPr>
            </w:pPr>
          </w:p>
        </w:tc>
        <w:tc>
          <w:tcPr>
            <w:tcW w:w="920" w:type="dxa"/>
            <w:vAlign w:val="bottom"/>
            <w:tcBorders>
              <w:bottom w:val="single" w:sz="8" w:color="auto"/>
              <w:right w:val="single" w:sz="8" w:color="auto"/>
            </w:tcBorders>
            <w:shd w:val="clear" w:color="auto" w:fill="99CCFF"/>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80" w:type="dxa"/>
            <w:vAlign w:val="bottom"/>
            <w:tcBorders>
              <w:left w:val="single" w:sz="8" w:color="auto"/>
              <w:right w:val="single" w:sz="8" w:color="auto"/>
            </w:tcBorders>
          </w:tcPr>
          <w:p>
            <w:pPr>
              <w:spacing w:after="0"/>
              <w:rPr>
                <w:sz w:val="16"/>
                <w:szCs w:val="16"/>
                <w:color w:val="auto"/>
              </w:rPr>
            </w:pPr>
          </w:p>
        </w:tc>
        <w:tc>
          <w:tcPr>
            <w:tcW w:w="13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Preferred</w:t>
            </w:r>
          </w:p>
        </w:tc>
        <w:tc>
          <w:tcPr>
            <w:tcW w:w="148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stock; par value</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Rules 456(b) and</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1460" w:type="dxa"/>
            <w:vAlign w:val="bottom"/>
            <w:tcBorders>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rPr>
              <w:t>$(1)(2)</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200" w:type="dxa"/>
            <w:vAlign w:val="bottom"/>
            <w:gridSpan w:val="2"/>
            <w:vMerge w:val="restart"/>
          </w:tcPr>
          <w:p>
            <w:pPr>
              <w:jc w:val="center"/>
              <w:ind w:left="810"/>
              <w:spacing w:after="0"/>
              <w:rPr>
                <w:sz w:val="20"/>
                <w:szCs w:val="20"/>
                <w:color w:val="auto"/>
              </w:rPr>
            </w:pPr>
            <w:r>
              <w:rPr>
                <w:rFonts w:ascii="Times New Roman" w:cs="Times New Roman" w:eastAsia="Times New Roman" w:hAnsi="Times New Roman"/>
                <w:sz w:val="18"/>
                <w:szCs w:val="18"/>
                <w:color w:val="auto"/>
                <w:w w:val="99"/>
              </w:rPr>
              <w:t>$(3)</w:t>
            </w: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vMerge w:val="continue"/>
          </w:tcPr>
          <w:p>
            <w:pPr>
              <w:spacing w:after="0"/>
              <w:rPr>
                <w:sz w:val="10"/>
                <w:szCs w:val="10"/>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$0.0001 per</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457(r)</w:t>
            </w:r>
          </w:p>
        </w:tc>
        <w:tc>
          <w:tcPr>
            <w:tcW w:w="144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gridSpan w:val="3"/>
            <w:vMerge w:val="continue"/>
          </w:tcPr>
          <w:p>
            <w:pPr>
              <w:spacing w:after="0"/>
              <w:rPr>
                <w:sz w:val="10"/>
                <w:szCs w:val="10"/>
                <w:color w:val="auto"/>
              </w:rPr>
            </w:pPr>
          </w:p>
        </w:tc>
        <w:tc>
          <w:tcPr>
            <w:tcW w:w="780" w:type="dxa"/>
            <w:vAlign w:val="bottom"/>
            <w:tcBorders>
              <w:right w:val="single" w:sz="8" w:color="auto"/>
            </w:tcBorders>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80" w:type="dxa"/>
            <w:vAlign w:val="bottom"/>
            <w:tcBorders>
              <w:left w:val="single" w:sz="8" w:color="auto"/>
              <w:right w:val="single" w:sz="8" w:color="auto"/>
            </w:tcBorders>
          </w:tcPr>
          <w:p>
            <w:pPr>
              <w:spacing w:after="0"/>
              <w:rPr>
                <w:sz w:val="7"/>
                <w:szCs w:val="7"/>
                <w:color w:val="auto"/>
              </w:rPr>
            </w:pPr>
          </w:p>
        </w:tc>
        <w:tc>
          <w:tcPr>
            <w:tcW w:w="1340" w:type="dxa"/>
            <w:vAlign w:val="bottom"/>
            <w:tcBorders>
              <w:right w:val="single" w:sz="8" w:color="auto"/>
            </w:tcBorders>
            <w:vMerge w:val="continue"/>
          </w:tcPr>
          <w:p>
            <w:pPr>
              <w:spacing w:after="0"/>
              <w:rPr>
                <w:sz w:val="7"/>
                <w:szCs w:val="7"/>
                <w:color w:val="auto"/>
              </w:rPr>
            </w:pPr>
          </w:p>
        </w:tc>
        <w:tc>
          <w:tcPr>
            <w:tcW w:w="1480" w:type="dxa"/>
            <w:vAlign w:val="bottom"/>
            <w:tcBorders>
              <w:right w:val="single" w:sz="8" w:color="auto"/>
            </w:tcBorders>
            <w:vMerge w:val="continue"/>
          </w:tcPr>
          <w:p>
            <w:pPr>
              <w:spacing w:after="0"/>
              <w:rPr>
                <w:sz w:val="7"/>
                <w:szCs w:val="7"/>
                <w:color w:val="auto"/>
              </w:rPr>
            </w:pPr>
          </w:p>
        </w:tc>
        <w:tc>
          <w:tcPr>
            <w:tcW w:w="144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148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80" w:type="dxa"/>
            <w:vAlign w:val="bottom"/>
            <w:tcBorders>
              <w:left w:val="single" w:sz="8" w:color="auto"/>
              <w:right w:val="single" w:sz="8" w:color="auto"/>
            </w:tcBorders>
            <w:vMerge w:val="restart"/>
            <w:shd w:val="clear" w:color="auto" w:fill="99CCFF"/>
          </w:tcPr>
          <w:p>
            <w:pPr>
              <w:jc w:val="center"/>
              <w:spacing w:after="0"/>
              <w:rPr>
                <w:sz w:val="20"/>
                <w:szCs w:val="20"/>
                <w:color w:val="auto"/>
              </w:rPr>
            </w:pPr>
            <w:r>
              <w:rPr>
                <w:rFonts w:ascii="Times New Roman" w:cs="Times New Roman" w:eastAsia="Times New Roman" w:hAnsi="Times New Roman"/>
                <w:sz w:val="18"/>
                <w:szCs w:val="18"/>
                <w:color w:val="auto"/>
              </w:rPr>
              <w:t>Debt</w:t>
            </w:r>
          </w:p>
        </w:tc>
        <w:tc>
          <w:tcPr>
            <w:tcW w:w="1340" w:type="dxa"/>
            <w:vAlign w:val="bottom"/>
            <w:tcBorders>
              <w:right w:val="single" w:sz="8" w:color="auto"/>
            </w:tcBorders>
            <w:vMerge w:val="restart"/>
            <w:shd w:val="clear" w:color="auto" w:fill="99CCFF"/>
          </w:tcPr>
          <w:p>
            <w:pPr>
              <w:jc w:val="center"/>
              <w:spacing w:after="0"/>
              <w:rPr>
                <w:sz w:val="20"/>
                <w:szCs w:val="20"/>
                <w:color w:val="auto"/>
              </w:rPr>
            </w:pPr>
            <w:r>
              <w:rPr>
                <w:rFonts w:ascii="Times New Roman" w:cs="Times New Roman" w:eastAsia="Times New Roman" w:hAnsi="Times New Roman"/>
                <w:sz w:val="18"/>
                <w:szCs w:val="18"/>
                <w:color w:val="auto"/>
                <w:w w:val="98"/>
              </w:rPr>
              <w:t>Debt securities</w:t>
            </w:r>
          </w:p>
        </w:tc>
        <w:tc>
          <w:tcPr>
            <w:tcW w:w="1480" w:type="dxa"/>
            <w:vAlign w:val="bottom"/>
            <w:tcBorders>
              <w:right w:val="single" w:sz="8" w:color="auto"/>
            </w:tcBorders>
            <w:shd w:val="clear" w:color="auto" w:fill="99CC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Rules 456(b) and</w:t>
            </w:r>
          </w:p>
        </w:tc>
        <w:tc>
          <w:tcPr>
            <w:tcW w:w="1440" w:type="dxa"/>
            <w:vAlign w:val="bottom"/>
            <w:tcBorders>
              <w:right w:val="single" w:sz="8" w:color="auto"/>
            </w:tcBorders>
            <w:vMerge w:val="restart"/>
            <w:shd w:val="clear" w:color="auto" w:fill="99CC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tcBorders>
              <w:right w:val="single" w:sz="8" w:color="auto"/>
            </w:tcBorders>
            <w:vMerge w:val="restart"/>
            <w:shd w:val="clear" w:color="auto" w:fill="99CC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460" w:type="dxa"/>
            <w:vAlign w:val="bottom"/>
            <w:tcBorders>
              <w:right w:val="single" w:sz="8" w:color="auto"/>
            </w:tcBorders>
            <w:gridSpan w:val="3"/>
            <w:vMerge w:val="restart"/>
            <w:shd w:val="clear" w:color="auto" w:fill="99CC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780" w:type="dxa"/>
            <w:vAlign w:val="bottom"/>
            <w:tcBorders>
              <w:right w:val="single" w:sz="8" w:color="auto"/>
            </w:tcBorders>
            <w:vMerge w:val="restart"/>
            <w:shd w:val="clear" w:color="auto" w:fill="99CC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200" w:type="dxa"/>
            <w:vAlign w:val="bottom"/>
            <w:gridSpan w:val="2"/>
            <w:vMerge w:val="restart"/>
            <w:shd w:val="clear" w:color="auto" w:fill="99CCFF"/>
          </w:tcPr>
          <w:p>
            <w:pPr>
              <w:jc w:val="center"/>
              <w:ind w:left="810"/>
              <w:spacing w:after="0"/>
              <w:rPr>
                <w:sz w:val="20"/>
                <w:szCs w:val="20"/>
                <w:color w:val="auto"/>
              </w:rPr>
            </w:pPr>
            <w:r>
              <w:rPr>
                <w:rFonts w:ascii="Times New Roman" w:cs="Times New Roman" w:eastAsia="Times New Roman" w:hAnsi="Times New Roman"/>
                <w:sz w:val="18"/>
                <w:szCs w:val="18"/>
                <w:color w:val="auto"/>
                <w:w w:val="99"/>
              </w:rPr>
              <w:t>$(3)</w:t>
            </w:r>
          </w:p>
        </w:tc>
        <w:tc>
          <w:tcPr>
            <w:tcW w:w="920" w:type="dxa"/>
            <w:vAlign w:val="bottom"/>
            <w:tcBorders>
              <w:right w:val="single" w:sz="8" w:color="auto"/>
            </w:tcBorders>
            <w:shd w:val="clear" w:color="auto" w:fill="99CC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vMerge w:val="continue"/>
            <w:shd w:val="clear" w:color="auto" w:fill="99CCFF"/>
          </w:tcPr>
          <w:p>
            <w:pPr>
              <w:spacing w:after="0"/>
              <w:rPr>
                <w:sz w:val="10"/>
                <w:szCs w:val="10"/>
                <w:color w:val="auto"/>
              </w:rPr>
            </w:pPr>
          </w:p>
        </w:tc>
        <w:tc>
          <w:tcPr>
            <w:tcW w:w="1340" w:type="dxa"/>
            <w:vAlign w:val="bottom"/>
            <w:tcBorders>
              <w:right w:val="single" w:sz="8" w:color="auto"/>
            </w:tcBorders>
            <w:vMerge w:val="continue"/>
            <w:shd w:val="clear" w:color="auto" w:fill="99CCFF"/>
          </w:tcPr>
          <w:p>
            <w:pPr>
              <w:spacing w:after="0"/>
              <w:rPr>
                <w:sz w:val="10"/>
                <w:szCs w:val="10"/>
                <w:color w:val="auto"/>
              </w:rPr>
            </w:pPr>
          </w:p>
        </w:tc>
        <w:tc>
          <w:tcPr>
            <w:tcW w:w="1480" w:type="dxa"/>
            <w:vAlign w:val="bottom"/>
            <w:tcBorders>
              <w:right w:val="single" w:sz="8" w:color="auto"/>
            </w:tcBorders>
            <w:vMerge w:val="restart"/>
            <w:shd w:val="clear" w:color="auto" w:fill="99CCFF"/>
          </w:tcPr>
          <w:p>
            <w:pPr>
              <w:jc w:val="center"/>
              <w:spacing w:after="0"/>
              <w:rPr>
                <w:sz w:val="20"/>
                <w:szCs w:val="20"/>
                <w:color w:val="auto"/>
              </w:rPr>
            </w:pPr>
            <w:r>
              <w:rPr>
                <w:rFonts w:ascii="Times New Roman" w:cs="Times New Roman" w:eastAsia="Times New Roman" w:hAnsi="Times New Roman"/>
                <w:sz w:val="18"/>
                <w:szCs w:val="18"/>
                <w:color w:val="auto"/>
                <w:w w:val="97"/>
              </w:rPr>
              <w:t>457(r)</w:t>
            </w:r>
          </w:p>
        </w:tc>
        <w:tc>
          <w:tcPr>
            <w:tcW w:w="1440" w:type="dxa"/>
            <w:vAlign w:val="bottom"/>
            <w:tcBorders>
              <w:right w:val="single" w:sz="8" w:color="auto"/>
            </w:tcBorders>
            <w:vMerge w:val="continue"/>
            <w:shd w:val="clear" w:color="auto" w:fill="99CCFF"/>
          </w:tcPr>
          <w:p>
            <w:pPr>
              <w:spacing w:after="0"/>
              <w:rPr>
                <w:sz w:val="10"/>
                <w:szCs w:val="10"/>
                <w:color w:val="auto"/>
              </w:rPr>
            </w:pPr>
          </w:p>
        </w:tc>
        <w:tc>
          <w:tcPr>
            <w:tcW w:w="1340" w:type="dxa"/>
            <w:vAlign w:val="bottom"/>
            <w:tcBorders>
              <w:right w:val="single" w:sz="8" w:color="auto"/>
            </w:tcBorders>
            <w:vMerge w:val="continue"/>
            <w:shd w:val="clear" w:color="auto" w:fill="99CCFF"/>
          </w:tcPr>
          <w:p>
            <w:pPr>
              <w:spacing w:after="0"/>
              <w:rPr>
                <w:sz w:val="10"/>
                <w:szCs w:val="10"/>
                <w:color w:val="auto"/>
              </w:rPr>
            </w:pPr>
          </w:p>
        </w:tc>
        <w:tc>
          <w:tcPr>
            <w:tcW w:w="1460" w:type="dxa"/>
            <w:vAlign w:val="bottom"/>
            <w:tcBorders>
              <w:right w:val="single" w:sz="8" w:color="auto"/>
            </w:tcBorders>
            <w:gridSpan w:val="3"/>
            <w:vMerge w:val="continue"/>
            <w:shd w:val="clear" w:color="auto" w:fill="99CCFF"/>
          </w:tcPr>
          <w:p>
            <w:pPr>
              <w:spacing w:after="0"/>
              <w:rPr>
                <w:sz w:val="10"/>
                <w:szCs w:val="10"/>
                <w:color w:val="auto"/>
              </w:rPr>
            </w:pPr>
          </w:p>
        </w:tc>
        <w:tc>
          <w:tcPr>
            <w:tcW w:w="780" w:type="dxa"/>
            <w:vAlign w:val="bottom"/>
            <w:tcBorders>
              <w:right w:val="single" w:sz="8" w:color="auto"/>
            </w:tcBorders>
            <w:vMerge w:val="continue"/>
            <w:shd w:val="clear" w:color="auto" w:fill="99CCFF"/>
          </w:tcPr>
          <w:p>
            <w:pPr>
              <w:spacing w:after="0"/>
              <w:rPr>
                <w:sz w:val="10"/>
                <w:szCs w:val="10"/>
                <w:color w:val="auto"/>
              </w:rPr>
            </w:pPr>
          </w:p>
        </w:tc>
        <w:tc>
          <w:tcPr>
            <w:tcW w:w="1200" w:type="dxa"/>
            <w:vAlign w:val="bottom"/>
            <w:gridSpan w:val="2"/>
            <w:vMerge w:val="continue"/>
            <w:shd w:val="clear" w:color="auto" w:fill="99CCFF"/>
          </w:tcPr>
          <w:p>
            <w:pPr>
              <w:spacing w:after="0"/>
              <w:rPr>
                <w:sz w:val="10"/>
                <w:szCs w:val="10"/>
                <w:color w:val="auto"/>
              </w:rPr>
            </w:pPr>
          </w:p>
        </w:tc>
        <w:tc>
          <w:tcPr>
            <w:tcW w:w="920" w:type="dxa"/>
            <w:vAlign w:val="bottom"/>
            <w:tcBorders>
              <w:right w:val="single" w:sz="8" w:color="auto"/>
            </w:tcBorders>
            <w:shd w:val="clear" w:color="auto" w:fill="99C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80" w:type="dxa"/>
            <w:vAlign w:val="bottom"/>
            <w:tcBorders>
              <w:left w:val="single" w:sz="8" w:color="auto"/>
              <w:bottom w:val="single" w:sz="8" w:color="auto"/>
              <w:right w:val="single" w:sz="8" w:color="auto"/>
            </w:tcBorders>
            <w:shd w:val="clear" w:color="auto" w:fill="99CCFF"/>
          </w:tcPr>
          <w:p>
            <w:pPr>
              <w:spacing w:after="0"/>
              <w:rPr>
                <w:sz w:val="9"/>
                <w:szCs w:val="9"/>
                <w:color w:val="auto"/>
              </w:rPr>
            </w:pPr>
          </w:p>
        </w:tc>
        <w:tc>
          <w:tcPr>
            <w:tcW w:w="1340" w:type="dxa"/>
            <w:vAlign w:val="bottom"/>
            <w:tcBorders>
              <w:bottom w:val="single" w:sz="8" w:color="auto"/>
              <w:right w:val="single" w:sz="8" w:color="auto"/>
            </w:tcBorders>
            <w:shd w:val="clear" w:color="auto" w:fill="99CCFF"/>
          </w:tcPr>
          <w:p>
            <w:pPr>
              <w:spacing w:after="0"/>
              <w:rPr>
                <w:sz w:val="9"/>
                <w:szCs w:val="9"/>
                <w:color w:val="auto"/>
              </w:rPr>
            </w:pPr>
          </w:p>
        </w:tc>
        <w:tc>
          <w:tcPr>
            <w:tcW w:w="1480" w:type="dxa"/>
            <w:vAlign w:val="bottom"/>
            <w:tcBorders>
              <w:bottom w:val="single" w:sz="8" w:color="auto"/>
              <w:right w:val="single" w:sz="8" w:color="auto"/>
            </w:tcBorders>
            <w:vMerge w:val="continue"/>
            <w:shd w:val="clear" w:color="auto" w:fill="99CCFF"/>
          </w:tcPr>
          <w:p>
            <w:pPr>
              <w:spacing w:after="0"/>
              <w:rPr>
                <w:sz w:val="9"/>
                <w:szCs w:val="9"/>
                <w:color w:val="auto"/>
              </w:rPr>
            </w:pPr>
          </w:p>
        </w:tc>
        <w:tc>
          <w:tcPr>
            <w:tcW w:w="1440" w:type="dxa"/>
            <w:vAlign w:val="bottom"/>
            <w:tcBorders>
              <w:bottom w:val="single" w:sz="8" w:color="auto"/>
              <w:right w:val="single" w:sz="8" w:color="auto"/>
            </w:tcBorders>
            <w:shd w:val="clear" w:color="auto" w:fill="99CCFF"/>
          </w:tcPr>
          <w:p>
            <w:pPr>
              <w:spacing w:after="0"/>
              <w:rPr>
                <w:sz w:val="9"/>
                <w:szCs w:val="9"/>
                <w:color w:val="auto"/>
              </w:rPr>
            </w:pPr>
          </w:p>
        </w:tc>
        <w:tc>
          <w:tcPr>
            <w:tcW w:w="1340" w:type="dxa"/>
            <w:vAlign w:val="bottom"/>
            <w:tcBorders>
              <w:bottom w:val="single" w:sz="8" w:color="auto"/>
              <w:right w:val="single" w:sz="8" w:color="auto"/>
            </w:tcBorders>
            <w:shd w:val="clear" w:color="auto" w:fill="99CCFF"/>
          </w:tcPr>
          <w:p>
            <w:pPr>
              <w:spacing w:after="0"/>
              <w:rPr>
                <w:sz w:val="9"/>
                <w:szCs w:val="9"/>
                <w:color w:val="auto"/>
              </w:rPr>
            </w:pPr>
          </w:p>
        </w:tc>
        <w:tc>
          <w:tcPr>
            <w:tcW w:w="580" w:type="dxa"/>
            <w:vAlign w:val="bottom"/>
            <w:tcBorders>
              <w:bottom w:val="single" w:sz="8" w:color="auto"/>
            </w:tcBorders>
            <w:shd w:val="clear" w:color="auto" w:fill="99CCFF"/>
          </w:tcPr>
          <w:p>
            <w:pPr>
              <w:spacing w:after="0"/>
              <w:rPr>
                <w:sz w:val="9"/>
                <w:szCs w:val="9"/>
                <w:color w:val="auto"/>
              </w:rPr>
            </w:pPr>
          </w:p>
        </w:tc>
        <w:tc>
          <w:tcPr>
            <w:tcW w:w="300" w:type="dxa"/>
            <w:vAlign w:val="bottom"/>
            <w:tcBorders>
              <w:bottom w:val="single" w:sz="8" w:color="auto"/>
            </w:tcBorders>
            <w:shd w:val="clear" w:color="auto" w:fill="99CCFF"/>
          </w:tcPr>
          <w:p>
            <w:pPr>
              <w:spacing w:after="0"/>
              <w:rPr>
                <w:sz w:val="9"/>
                <w:szCs w:val="9"/>
                <w:color w:val="auto"/>
              </w:rPr>
            </w:pPr>
          </w:p>
        </w:tc>
        <w:tc>
          <w:tcPr>
            <w:tcW w:w="580" w:type="dxa"/>
            <w:vAlign w:val="bottom"/>
            <w:tcBorders>
              <w:bottom w:val="single" w:sz="8" w:color="auto"/>
              <w:right w:val="single" w:sz="8" w:color="auto"/>
            </w:tcBorders>
            <w:shd w:val="clear" w:color="auto" w:fill="99CCFF"/>
          </w:tcPr>
          <w:p>
            <w:pPr>
              <w:spacing w:after="0"/>
              <w:rPr>
                <w:sz w:val="9"/>
                <w:szCs w:val="9"/>
                <w:color w:val="auto"/>
              </w:rPr>
            </w:pPr>
          </w:p>
        </w:tc>
        <w:tc>
          <w:tcPr>
            <w:tcW w:w="780" w:type="dxa"/>
            <w:vAlign w:val="bottom"/>
            <w:tcBorders>
              <w:bottom w:val="single" w:sz="8" w:color="auto"/>
              <w:right w:val="single" w:sz="8" w:color="auto"/>
            </w:tcBorders>
            <w:shd w:val="clear" w:color="auto" w:fill="99CCFF"/>
          </w:tcPr>
          <w:p>
            <w:pPr>
              <w:spacing w:after="0"/>
              <w:rPr>
                <w:sz w:val="9"/>
                <w:szCs w:val="9"/>
                <w:color w:val="auto"/>
              </w:rPr>
            </w:pPr>
          </w:p>
        </w:tc>
        <w:tc>
          <w:tcPr>
            <w:tcW w:w="900" w:type="dxa"/>
            <w:vAlign w:val="bottom"/>
            <w:tcBorders>
              <w:bottom w:val="single" w:sz="8" w:color="auto"/>
            </w:tcBorders>
            <w:shd w:val="clear" w:color="auto" w:fill="99CCFF"/>
          </w:tcPr>
          <w:p>
            <w:pPr>
              <w:spacing w:after="0"/>
              <w:rPr>
                <w:sz w:val="9"/>
                <w:szCs w:val="9"/>
                <w:color w:val="auto"/>
              </w:rPr>
            </w:pPr>
          </w:p>
        </w:tc>
        <w:tc>
          <w:tcPr>
            <w:tcW w:w="300" w:type="dxa"/>
            <w:vAlign w:val="bottom"/>
            <w:tcBorders>
              <w:bottom w:val="single" w:sz="8" w:color="auto"/>
            </w:tcBorders>
            <w:shd w:val="clear" w:color="auto" w:fill="99CCFF"/>
          </w:tcPr>
          <w:p>
            <w:pPr>
              <w:spacing w:after="0"/>
              <w:rPr>
                <w:sz w:val="9"/>
                <w:szCs w:val="9"/>
                <w:color w:val="auto"/>
              </w:rPr>
            </w:pPr>
          </w:p>
        </w:tc>
        <w:tc>
          <w:tcPr>
            <w:tcW w:w="920" w:type="dxa"/>
            <w:vAlign w:val="bottom"/>
            <w:tcBorders>
              <w:bottom w:val="single" w:sz="8" w:color="auto"/>
              <w:right w:val="single" w:sz="8" w:color="auto"/>
            </w:tcBorders>
            <w:shd w:val="clear" w:color="auto" w:fill="99CC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Warrants</w:t>
            </w:r>
          </w:p>
        </w:tc>
        <w:tc>
          <w:tcPr>
            <w:tcW w:w="14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Rules 456(b) and</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46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200" w:type="dxa"/>
            <w:vAlign w:val="bottom"/>
            <w:gridSpan w:val="2"/>
            <w:vMerge w:val="restart"/>
          </w:tcPr>
          <w:p>
            <w:pPr>
              <w:jc w:val="center"/>
              <w:ind w:left="810"/>
              <w:spacing w:after="0"/>
              <w:rPr>
                <w:sz w:val="20"/>
                <w:szCs w:val="20"/>
                <w:color w:val="auto"/>
              </w:rPr>
            </w:pPr>
            <w:r>
              <w:rPr>
                <w:rFonts w:ascii="Times New Roman" w:cs="Times New Roman" w:eastAsia="Times New Roman" w:hAnsi="Times New Roman"/>
                <w:sz w:val="18"/>
                <w:szCs w:val="18"/>
                <w:color w:val="auto"/>
                <w:w w:val="99"/>
              </w:rPr>
              <w:t>$(3)</w:t>
            </w:r>
          </w:p>
        </w:tc>
        <w:tc>
          <w:tcPr>
            <w:tcW w:w="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457(r)</w:t>
            </w:r>
          </w:p>
        </w:tc>
        <w:tc>
          <w:tcPr>
            <w:tcW w:w="144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gridSpan w:val="3"/>
            <w:vMerge w:val="continue"/>
          </w:tcPr>
          <w:p>
            <w:pPr>
              <w:spacing w:after="0"/>
              <w:rPr>
                <w:sz w:val="10"/>
                <w:szCs w:val="10"/>
                <w:color w:val="auto"/>
              </w:rPr>
            </w:pPr>
          </w:p>
        </w:tc>
        <w:tc>
          <w:tcPr>
            <w:tcW w:w="780" w:type="dxa"/>
            <w:vAlign w:val="bottom"/>
            <w:tcBorders>
              <w:right w:val="single" w:sz="8" w:color="auto"/>
            </w:tcBorders>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80" w:type="dxa"/>
            <w:vAlign w:val="bottom"/>
            <w:tcBorders>
              <w:left w:val="single" w:sz="8" w:color="auto"/>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vMerge w:val="continue"/>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Units</w:t>
            </w:r>
          </w:p>
        </w:tc>
        <w:tc>
          <w:tcPr>
            <w:tcW w:w="14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Rules 456(b) and</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46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200" w:type="dxa"/>
            <w:vAlign w:val="bottom"/>
            <w:gridSpan w:val="2"/>
            <w:vMerge w:val="restart"/>
          </w:tcPr>
          <w:p>
            <w:pPr>
              <w:jc w:val="center"/>
              <w:ind w:left="810"/>
              <w:spacing w:after="0"/>
              <w:rPr>
                <w:sz w:val="20"/>
                <w:szCs w:val="20"/>
                <w:color w:val="auto"/>
              </w:rPr>
            </w:pPr>
            <w:r>
              <w:rPr>
                <w:rFonts w:ascii="Times New Roman" w:cs="Times New Roman" w:eastAsia="Times New Roman" w:hAnsi="Times New Roman"/>
                <w:sz w:val="18"/>
                <w:szCs w:val="18"/>
                <w:color w:val="auto"/>
                <w:w w:val="99"/>
              </w:rPr>
              <w:t>$(3)</w:t>
            </w:r>
          </w:p>
        </w:tc>
        <w:tc>
          <w:tcPr>
            <w:tcW w:w="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457(r)</w:t>
            </w:r>
          </w:p>
        </w:tc>
        <w:tc>
          <w:tcPr>
            <w:tcW w:w="144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gridSpan w:val="3"/>
            <w:vMerge w:val="continue"/>
          </w:tcPr>
          <w:p>
            <w:pPr>
              <w:spacing w:after="0"/>
              <w:rPr>
                <w:sz w:val="10"/>
                <w:szCs w:val="10"/>
                <w:color w:val="auto"/>
              </w:rPr>
            </w:pPr>
          </w:p>
        </w:tc>
        <w:tc>
          <w:tcPr>
            <w:tcW w:w="780" w:type="dxa"/>
            <w:vAlign w:val="bottom"/>
            <w:tcBorders>
              <w:right w:val="single" w:sz="8" w:color="auto"/>
            </w:tcBorders>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80" w:type="dxa"/>
            <w:vAlign w:val="bottom"/>
            <w:tcBorders>
              <w:left w:val="single" w:sz="8" w:color="auto"/>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vMerge w:val="continue"/>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80" w:type="dxa"/>
            <w:vAlign w:val="bottom"/>
            <w:tcBorders>
              <w:left w:val="single" w:sz="8" w:color="auto"/>
              <w:bottom w:val="single" w:sz="8" w:color="auto"/>
              <w:right w:val="single" w:sz="8" w:color="99CCFF"/>
            </w:tcBorders>
            <w:shd w:val="clear" w:color="auto" w:fill="99CCFF"/>
          </w:tcPr>
          <w:p>
            <w:pPr>
              <w:spacing w:after="0"/>
              <w:rPr>
                <w:sz w:val="18"/>
                <w:szCs w:val="18"/>
                <w:color w:val="auto"/>
              </w:rPr>
            </w:pPr>
          </w:p>
        </w:tc>
        <w:tc>
          <w:tcPr>
            <w:tcW w:w="2820" w:type="dxa"/>
            <w:vAlign w:val="bottom"/>
            <w:tcBorders>
              <w:bottom w:val="single" w:sz="8" w:color="auto"/>
              <w:right w:val="single" w:sz="8" w:color="99CCFF"/>
            </w:tcBorders>
            <w:gridSpan w:val="2"/>
            <w:shd w:val="clear" w:color="auto" w:fill="99CCFF"/>
          </w:tcPr>
          <w:p>
            <w:pPr>
              <w:jc w:val="center"/>
              <w:ind w:left="90"/>
              <w:spacing w:after="0" w:line="169" w:lineRule="exact"/>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1440" w:type="dxa"/>
            <w:vAlign w:val="bottom"/>
            <w:tcBorders>
              <w:bottom w:val="single" w:sz="8" w:color="auto"/>
              <w:right w:val="single" w:sz="8" w:color="auto"/>
            </w:tcBorders>
            <w:shd w:val="clear" w:color="auto" w:fill="99CCFF"/>
          </w:tcPr>
          <w:p>
            <w:pPr>
              <w:spacing w:after="0"/>
              <w:rPr>
                <w:sz w:val="18"/>
                <w:szCs w:val="18"/>
                <w:color w:val="auto"/>
              </w:rPr>
            </w:pPr>
          </w:p>
        </w:tc>
        <w:tc>
          <w:tcPr>
            <w:tcW w:w="1340" w:type="dxa"/>
            <w:vAlign w:val="bottom"/>
            <w:tcBorders>
              <w:bottom w:val="single" w:sz="8" w:color="auto"/>
              <w:right w:val="single" w:sz="8" w:color="auto"/>
            </w:tcBorders>
            <w:shd w:val="clear" w:color="auto" w:fill="99CCFF"/>
          </w:tcPr>
          <w:p>
            <w:pPr>
              <w:spacing w:after="0"/>
              <w:rPr>
                <w:sz w:val="18"/>
                <w:szCs w:val="18"/>
                <w:color w:val="auto"/>
              </w:rPr>
            </w:pPr>
          </w:p>
        </w:tc>
        <w:tc>
          <w:tcPr>
            <w:tcW w:w="1460" w:type="dxa"/>
            <w:vAlign w:val="bottom"/>
            <w:tcBorders>
              <w:bottom w:val="single" w:sz="8" w:color="auto"/>
              <w:right w:val="single" w:sz="8" w:color="auto"/>
            </w:tcBorders>
            <w:gridSpan w:val="3"/>
            <w:shd w:val="clear" w:color="auto" w:fill="99CCFF"/>
          </w:tcPr>
          <w:p>
            <w:pPr>
              <w:jc w:val="center"/>
              <w:spacing w:after="0" w:line="169" w:lineRule="exact"/>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w:t>
            </w:r>
          </w:p>
        </w:tc>
        <w:tc>
          <w:tcPr>
            <w:tcW w:w="780" w:type="dxa"/>
            <w:vAlign w:val="bottom"/>
            <w:tcBorders>
              <w:bottom w:val="single" w:sz="8" w:color="auto"/>
              <w:right w:val="single" w:sz="8" w:color="auto"/>
            </w:tcBorders>
            <w:shd w:val="clear" w:color="auto" w:fill="99CCFF"/>
          </w:tcPr>
          <w:p>
            <w:pPr>
              <w:spacing w:after="0"/>
              <w:rPr>
                <w:sz w:val="18"/>
                <w:szCs w:val="18"/>
                <w:color w:val="auto"/>
              </w:rPr>
            </w:pPr>
          </w:p>
        </w:tc>
        <w:tc>
          <w:tcPr>
            <w:tcW w:w="1200" w:type="dxa"/>
            <w:vAlign w:val="bottom"/>
            <w:tcBorders>
              <w:bottom w:val="single" w:sz="8" w:color="auto"/>
            </w:tcBorders>
            <w:gridSpan w:val="2"/>
            <w:shd w:val="clear" w:color="auto" w:fill="99CCFF"/>
          </w:tcPr>
          <w:p>
            <w:pPr>
              <w:jc w:val="center"/>
              <w:ind w:left="810"/>
              <w:spacing w:after="0" w:line="169" w:lineRule="exact"/>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w:t>
            </w:r>
          </w:p>
        </w:tc>
        <w:tc>
          <w:tcPr>
            <w:tcW w:w="920" w:type="dxa"/>
            <w:vAlign w:val="bottom"/>
            <w:tcBorders>
              <w:bottom w:val="single" w:sz="8" w:color="auto"/>
              <w:right w:val="single" w:sz="8" w:color="auto"/>
            </w:tcBorders>
            <w:shd w:val="clear" w:color="auto" w:fill="99CC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left w:val="single" w:sz="8" w:color="auto"/>
              <w:bottom w:val="single" w:sz="8" w:color="auto"/>
            </w:tcBorders>
          </w:tcPr>
          <w:p>
            <w:pPr>
              <w:spacing w:after="0"/>
              <w:rPr>
                <w:sz w:val="18"/>
                <w:szCs w:val="18"/>
                <w:color w:val="auto"/>
              </w:rPr>
            </w:pPr>
          </w:p>
        </w:tc>
        <w:tc>
          <w:tcPr>
            <w:tcW w:w="2820" w:type="dxa"/>
            <w:vAlign w:val="bottom"/>
            <w:tcBorders>
              <w:bottom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Total Fees Previously Paid</w:t>
            </w:r>
          </w:p>
        </w:tc>
        <w:tc>
          <w:tcPr>
            <w:tcW w:w="144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left w:val="single" w:sz="8" w:color="auto"/>
              <w:bottom w:val="single" w:sz="8" w:color="auto"/>
              <w:right w:val="single" w:sz="8" w:color="99CCFF"/>
            </w:tcBorders>
            <w:shd w:val="clear" w:color="auto" w:fill="99CCFF"/>
          </w:tcPr>
          <w:p>
            <w:pPr>
              <w:spacing w:after="0"/>
              <w:rPr>
                <w:sz w:val="18"/>
                <w:szCs w:val="18"/>
                <w:color w:val="auto"/>
              </w:rPr>
            </w:pPr>
          </w:p>
        </w:tc>
        <w:tc>
          <w:tcPr>
            <w:tcW w:w="2820" w:type="dxa"/>
            <w:vAlign w:val="bottom"/>
            <w:tcBorders>
              <w:bottom w:val="single" w:sz="8" w:color="auto"/>
              <w:right w:val="single" w:sz="8" w:color="99CCFF"/>
            </w:tcBorders>
            <w:gridSpan w:val="2"/>
            <w:shd w:val="clear" w:color="auto" w:fill="99CCFF"/>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1440" w:type="dxa"/>
            <w:vAlign w:val="bottom"/>
            <w:tcBorders>
              <w:bottom w:val="single" w:sz="8" w:color="auto"/>
              <w:right w:val="single" w:sz="8" w:color="auto"/>
            </w:tcBorders>
            <w:shd w:val="clear" w:color="auto" w:fill="99CCFF"/>
          </w:tcPr>
          <w:p>
            <w:pPr>
              <w:spacing w:after="0"/>
              <w:rPr>
                <w:sz w:val="18"/>
                <w:szCs w:val="18"/>
                <w:color w:val="auto"/>
              </w:rPr>
            </w:pPr>
          </w:p>
        </w:tc>
        <w:tc>
          <w:tcPr>
            <w:tcW w:w="1340" w:type="dxa"/>
            <w:vAlign w:val="bottom"/>
            <w:tcBorders>
              <w:bottom w:val="single" w:sz="8" w:color="auto"/>
              <w:right w:val="single" w:sz="8" w:color="auto"/>
            </w:tcBorders>
            <w:shd w:val="clear" w:color="auto" w:fill="99CCFF"/>
          </w:tcPr>
          <w:p>
            <w:pPr>
              <w:spacing w:after="0"/>
              <w:rPr>
                <w:sz w:val="18"/>
                <w:szCs w:val="18"/>
                <w:color w:val="auto"/>
              </w:rPr>
            </w:pPr>
          </w:p>
        </w:tc>
        <w:tc>
          <w:tcPr>
            <w:tcW w:w="580" w:type="dxa"/>
            <w:vAlign w:val="bottom"/>
            <w:tcBorders>
              <w:bottom w:val="single" w:sz="8" w:color="auto"/>
            </w:tcBorders>
            <w:shd w:val="clear" w:color="auto" w:fill="99CCFF"/>
          </w:tcPr>
          <w:p>
            <w:pPr>
              <w:spacing w:after="0"/>
              <w:rPr>
                <w:sz w:val="18"/>
                <w:szCs w:val="18"/>
                <w:color w:val="auto"/>
              </w:rPr>
            </w:pPr>
          </w:p>
        </w:tc>
        <w:tc>
          <w:tcPr>
            <w:tcW w:w="300" w:type="dxa"/>
            <w:vAlign w:val="bottom"/>
            <w:tcBorders>
              <w:bottom w:val="single" w:sz="8" w:color="auto"/>
            </w:tcBorders>
            <w:shd w:val="clear" w:color="auto" w:fill="99CCFF"/>
          </w:tcPr>
          <w:p>
            <w:pPr>
              <w:spacing w:after="0"/>
              <w:rPr>
                <w:sz w:val="18"/>
                <w:szCs w:val="18"/>
                <w:color w:val="auto"/>
              </w:rPr>
            </w:pPr>
          </w:p>
        </w:tc>
        <w:tc>
          <w:tcPr>
            <w:tcW w:w="580" w:type="dxa"/>
            <w:vAlign w:val="bottom"/>
            <w:tcBorders>
              <w:bottom w:val="single" w:sz="8" w:color="auto"/>
              <w:right w:val="single" w:sz="8" w:color="auto"/>
            </w:tcBorders>
            <w:shd w:val="clear" w:color="auto" w:fill="99CCFF"/>
          </w:tcPr>
          <w:p>
            <w:pPr>
              <w:spacing w:after="0"/>
              <w:rPr>
                <w:sz w:val="18"/>
                <w:szCs w:val="18"/>
                <w:color w:val="auto"/>
              </w:rPr>
            </w:pPr>
          </w:p>
        </w:tc>
        <w:tc>
          <w:tcPr>
            <w:tcW w:w="780" w:type="dxa"/>
            <w:vAlign w:val="bottom"/>
            <w:tcBorders>
              <w:bottom w:val="single" w:sz="8" w:color="auto"/>
              <w:right w:val="single" w:sz="8" w:color="auto"/>
            </w:tcBorders>
            <w:shd w:val="clear" w:color="auto" w:fill="99CCFF"/>
          </w:tcPr>
          <w:p>
            <w:pPr>
              <w:spacing w:after="0"/>
              <w:rPr>
                <w:sz w:val="18"/>
                <w:szCs w:val="18"/>
                <w:color w:val="auto"/>
              </w:rPr>
            </w:pPr>
          </w:p>
        </w:tc>
        <w:tc>
          <w:tcPr>
            <w:tcW w:w="900" w:type="dxa"/>
            <w:vAlign w:val="bottom"/>
            <w:tcBorders>
              <w:bottom w:val="single" w:sz="8" w:color="auto"/>
            </w:tcBorders>
            <w:shd w:val="clear" w:color="auto" w:fill="99CCFF"/>
          </w:tcPr>
          <w:p>
            <w:pPr>
              <w:spacing w:after="0"/>
              <w:rPr>
                <w:sz w:val="18"/>
                <w:szCs w:val="18"/>
                <w:color w:val="auto"/>
              </w:rPr>
            </w:pPr>
          </w:p>
        </w:tc>
        <w:tc>
          <w:tcPr>
            <w:tcW w:w="300" w:type="dxa"/>
            <w:vAlign w:val="bottom"/>
            <w:tcBorders>
              <w:bottom w:val="single" w:sz="8" w:color="auto"/>
            </w:tcBorders>
            <w:shd w:val="clear" w:color="auto" w:fill="99CCFF"/>
          </w:tcPr>
          <w:p>
            <w:pPr>
              <w:spacing w:after="0"/>
              <w:rPr>
                <w:sz w:val="18"/>
                <w:szCs w:val="18"/>
                <w:color w:val="auto"/>
              </w:rPr>
            </w:pPr>
          </w:p>
        </w:tc>
        <w:tc>
          <w:tcPr>
            <w:tcW w:w="920" w:type="dxa"/>
            <w:vAlign w:val="bottom"/>
            <w:tcBorders>
              <w:bottom w:val="single" w:sz="8" w:color="auto"/>
              <w:right w:val="single" w:sz="8" w:color="auto"/>
            </w:tcBorders>
            <w:shd w:val="clear" w:color="auto" w:fill="99C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Borders>
              <w:left w:val="single" w:sz="8" w:color="auto"/>
              <w:bottom w:val="single" w:sz="8" w:color="auto"/>
            </w:tcBorders>
          </w:tcPr>
          <w:p>
            <w:pPr>
              <w:spacing w:after="0"/>
              <w:rPr>
                <w:sz w:val="18"/>
                <w:szCs w:val="18"/>
                <w:color w:val="auto"/>
              </w:rPr>
            </w:pPr>
          </w:p>
        </w:tc>
        <w:tc>
          <w:tcPr>
            <w:tcW w:w="2820" w:type="dxa"/>
            <w:vAlign w:val="bottom"/>
            <w:tcBorders>
              <w:bottom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144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9"/>
              </w:rPr>
              <w:t>$(3)</w:t>
            </w:r>
          </w:p>
        </w:tc>
        <w:tc>
          <w:tcPr>
            <w:tcW w:w="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8"/>
        <w:spacing w:after="0" w:line="261" w:lineRule="auto"/>
        <w:tabs>
          <w:tab w:leader="none" w:pos="67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unspecified number of securities or aggregate principal amount, as applicable, is being registered as may from time to time be offered at unspecified prices and, in addition, an unspecified number of additional shares of common stock is being registered as may be issued from time to time upon conversion of any debt securities that are convertible into common stock or pursuant to any anti-dilution adjustments with respect to any such convertible debt securities.</w:t>
      </w:r>
    </w:p>
    <w:p>
      <w:pPr>
        <w:spacing w:after="0" w:line="179" w:lineRule="exact"/>
        <w:rPr>
          <w:rFonts w:ascii="Times New Roman" w:cs="Times New Roman" w:eastAsia="Times New Roman" w:hAnsi="Times New Roman"/>
          <w:sz w:val="18"/>
          <w:szCs w:val="18"/>
          <w:color w:val="auto"/>
        </w:rPr>
      </w:pPr>
    </w:p>
    <w:p>
      <w:pPr>
        <w:ind w:firstLine="8"/>
        <w:spacing w:after="0" w:line="282" w:lineRule="auto"/>
        <w:tabs>
          <w:tab w:leader="none" w:pos="55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rights to acquire common stock or preferred stock of the registrant under any shareholder rights plan then in effect, if applicable under the terms of any such plan.</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70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Rules 456(b) and 457(r) under the Securities Act of 1933, as amended, the registrant is deferring payment of the entire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5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1)"/>
      <w:numFmt w:val="decimal"/>
      <w:start w:val="510"/>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1"/>
      <w:numFmt w:val="decimal"/>
      <w:start w:val="107"/>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8">
    <w:nsid w:val="3804823E"/>
    <w:multiLevelType w:val="hybridMultilevel"/>
    <w:lvl w:ilvl="0">
      <w:lvlJc w:val="left"/>
      <w:lvlText w:val="(%1)"/>
      <w:numFmt w:val="decimal"/>
      <w:start w:val="2"/>
    </w:lvl>
    <w:lvl w:ilvl="1">
      <w:lvlJc w:val="left"/>
      <w:lvlText w:val="(%2)"/>
      <w:numFmt w:val="upperLetter"/>
      <w:start w:val="1"/>
    </w:lvl>
  </w:abstractNum>
  <w:abstractNum w:abstractNumId="29">
    <w:nsid w:val="77465F01"/>
    <w:multiLevelType w:val="hybridMultilevel"/>
    <w:lvl w:ilvl="0">
      <w:lvlJc w:val="left"/>
      <w:lvlText w:val="%1"/>
      <w:numFmt w:val="decimal"/>
      <w:start w:val="1"/>
    </w:lvl>
    <w:lvl w:ilvl="1">
      <w:lvlJc w:val="left"/>
      <w:lvlText w:val="(%2)"/>
      <w:numFmt w:val="lowerRoman"/>
      <w:start w:val="1"/>
    </w:lvl>
  </w:abstractNum>
  <w:abstractNum w:abstractNumId="30">
    <w:nsid w:val="7724C67E"/>
    <w:multiLevelType w:val="hybridMultilevel"/>
    <w:lvl w:ilvl="0">
      <w:lvlJc w:val="left"/>
      <w:lvlText w:val="(%1)"/>
      <w:numFmt w:val="decimal"/>
      <w:start w:val="6"/>
    </w:lvl>
    <w:lvl w:ilvl="1">
      <w:lvlJc w:val="left"/>
      <w:lvlText w:val="%2"/>
      <w:numFmt w:val="lowerRoman"/>
      <w:start w:val="1"/>
    </w:lvl>
  </w:abstractNum>
  <w:abstractNum w:abstractNumId="31">
    <w:nsid w:val="5C482A97"/>
    <w:multiLevelType w:val="hybridMultilevel"/>
    <w:lvl w:ilvl="0">
      <w:lvlJc w:val="left"/>
      <w:lvlText w:val="(%1)"/>
      <w:numFmt w:val="decimal"/>
      <w:start w:val="8"/>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3"/>
    </w:lvl>
  </w:abstractNum>
  <w:abstractNum w:abstractNumId="34">
    <w:nsid w:val="51EAD36B"/>
    <w:multiLevelType w:val="hybridMultilevel"/>
    <w:lvl w:ilvl="0">
      <w:lvlJc w:val="left"/>
      <w:lvlText w:val="(%1)"/>
      <w:numFmt w:val="lowerLetter"/>
      <w:start w:val="1"/>
    </w:lvl>
  </w:abstractNum>
  <w:abstractNum w:abstractNumId="35">
    <w:nsid w:val="2D517796"/>
    <w:multiLevelType w:val="hybridMultilevel"/>
    <w:lvl w:ilvl="0">
      <w:lvlJc w:val="left"/>
      <w:lvlText w:val="(%1)"/>
      <w:numFmt w:val="lowerRoman"/>
      <w:start w:val="1"/>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1)"/>
      <w:numFmt w:val="decimal"/>
      <w:start w:val="2"/>
    </w:lvl>
  </w:abstractNum>
  <w:abstractNum w:abstractNumId="38">
    <w:nsid w:val="3855585C"/>
    <w:multiLevelType w:val="hybridMultilevel"/>
    <w:lvl w:ilvl="0">
      <w:lvlJc w:val="left"/>
      <w:lvlText w:val="(%1)"/>
      <w:numFmt w:val="decimal"/>
      <w:start w:val="4"/>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lowerLetter"/>
      <w:start w:val="4"/>
    </w:lvl>
  </w:abstractNum>
  <w:abstractNum w:abstractNumId="41">
    <w:nsid w:val="2A487CB0"/>
    <w:multiLevelType w:val="hybridMultilevel"/>
    <w:lvl w:ilvl="0">
      <w:lvlJc w:val="left"/>
      <w:lvlText w:val="(%1)"/>
      <w:numFmt w:val="lowerLetter"/>
      <w:start w:val="2"/>
    </w:lvl>
  </w:abstractNum>
  <w:abstractNum w:abstractNumId="42">
    <w:nsid w:val="1D4ED43B"/>
    <w:multiLevelType w:val="hybridMultilevel"/>
    <w:lvl w:ilvl="0">
      <w:lvlJc w:val="left"/>
      <w:lvlText w:val="(%1)"/>
      <w:numFmt w:val="lowerLetter"/>
      <w:start w:val="4"/>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jpe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37" Type="http://schemas.openxmlformats.org/officeDocument/2006/relationships/hyperlink" Target="https://www.sec.gov/ix?doc=/Archives/edgar/data/1680062/000168006224000008/acmr-20231231.htm" TargetMode="External"/><Relationship Id="rId38" Type="http://schemas.openxmlformats.org/officeDocument/2006/relationships/hyperlink" Target="https://www.sec.gov/ix?doc=/Archives/edgar/data/1680062/000114036123022028/edge20006928x2_def14a.htm" TargetMode="External"/><Relationship Id="rId39" Type="http://schemas.openxmlformats.org/officeDocument/2006/relationships/hyperlink" Target="https://www.sec.gov/ix?doc=/Archives/edgar/data/1680062/000114036124001052/ef20018215_8k.htm" TargetMode="External"/><Relationship Id="rId40" Type="http://schemas.openxmlformats.org/officeDocument/2006/relationships/hyperlink" Target="https://www.sec.gov/ix?doc=/Archives/edgar/data/1680062/000114036124003765/ef20019682_8k.htm" TargetMode="External"/><Relationship Id="rId41" Type="http://schemas.openxmlformats.org/officeDocument/2006/relationships/hyperlink" Target="https://www.sec.gov/ix?doc=/Archives/edgar/data/1680062/000114036124005323/ef20020525_8k.htm" TargetMode="External"/><Relationship Id="rId42" Type="http://schemas.openxmlformats.org/officeDocument/2006/relationships/hyperlink" Target="https://www.sec.gov/Archives/edgar/data/1680062/000119312517328539/d485207d8a12b.htm" TargetMode="External"/><Relationship Id="rId46" Type="http://schemas.openxmlformats.org/officeDocument/2006/relationships/hyperlink" Target="https://www.sec.gov/Archives/edgar/data/1680062/000119312517342650/d407541dex301.htm" TargetMode="External"/><Relationship Id="rId47" Type="http://schemas.openxmlformats.org/officeDocument/2006/relationships/hyperlink" Target="https://www.sec.gov/Archives/edgar/data/1680062/000114036121024240/brhc10026736_ex3-01.htm" TargetMode="External"/><Relationship Id="rId48" Type="http://schemas.openxmlformats.org/officeDocument/2006/relationships/hyperlink" Target="https://www.sec.gov/Archives/edgar/data/1680062/000119312517342650/d407541dex302.htm" TargetMode="External"/><Relationship Id="rId49" Type="http://schemas.openxmlformats.org/officeDocument/2006/relationships/hyperlink" Target="https://www.sec.gov/Archives/edgar/data/1680062/000119312517312780/d311227dex4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2024-03-18T15:44:28Z</dcterms:created>
  <dcterms:modified xsi:type="dcterms:W3CDTF">2024-03-18T15:44:28Z</dcterms:modified>
</cp:coreProperties>
</file>