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Feng Lisa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300"/>
        <w:spacing w:after="0" w:line="3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80" w:right="560" w:hanging="256"/>
        <w:spacing w:after="0" w:line="183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12/26/2023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12/26/2023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26, 2023, the reporting person exercised a previously issued stock option to purchase 7,500 shares of Class A Common Stock of the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 on September 14,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of ACM Research (Shanghai), Inc., a subsidiary of the Issuer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6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Lisa Feng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908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9777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2023-12-28T20:08:38Z</dcterms:created>
  <dcterms:modified xsi:type="dcterms:W3CDTF">2023-12-28T20:08:38Z</dcterms:modified>
</cp:coreProperties>
</file>