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CUSIP No. 00108J109</w:t>
            </w:r>
          </w:p>
        </w:tc>
        <w:tc>
          <w:tcPr>
            <w:tcW w:w="4640" w:type="dxa"/>
            <w:vAlign w:val="bottom"/>
          </w:tcPr>
          <w:p>
            <w:pPr>
              <w:ind w:left="1640"/>
              <w:spacing w:after="0"/>
              <w:rPr>
                <w:sz w:val="20"/>
                <w:szCs w:val="20"/>
                <w:color w:val="auto"/>
              </w:rPr>
            </w:pPr>
            <w:r>
              <w:rPr>
                <w:rFonts w:ascii="Arial" w:cs="Arial" w:eastAsia="Arial" w:hAnsi="Arial"/>
                <w:sz w:val="18"/>
                <w:szCs w:val="18"/>
                <w:color w:val="auto"/>
              </w:rPr>
              <w:t>SCHEDULE 13G</w:t>
            </w:r>
          </w:p>
        </w:tc>
        <w:tc>
          <w:tcPr>
            <w:tcW w:w="3100" w:type="dxa"/>
            <w:vAlign w:val="bottom"/>
            <w:vMerge w:val="restart"/>
          </w:tcPr>
          <w:p>
            <w:pPr>
              <w:ind w:left="1720"/>
              <w:spacing w:after="0"/>
              <w:rPr>
                <w:sz w:val="20"/>
                <w:szCs w:val="20"/>
                <w:color w:val="auto"/>
              </w:rPr>
            </w:pPr>
            <w:r>
              <w:rPr>
                <w:rFonts w:ascii="Arial" w:cs="Arial" w:eastAsia="Arial" w:hAnsi="Arial"/>
                <w:sz w:val="18"/>
                <w:szCs w:val="18"/>
                <w:color w:val="auto"/>
                <w:w w:val="91"/>
              </w:rPr>
              <w:t>Page 1 of 5 Pages</w:t>
            </w:r>
          </w:p>
        </w:tc>
        <w:tc>
          <w:tcPr>
            <w:tcW w:w="0" w:type="dxa"/>
            <w:vAlign w:val="bottom"/>
          </w:tcPr>
          <w:p>
            <w:pPr>
              <w:spacing w:after="0"/>
              <w:rPr>
                <w:sz w:val="1"/>
                <w:szCs w:val="1"/>
                <w:color w:val="auto"/>
              </w:rPr>
            </w:pPr>
          </w:p>
        </w:tc>
      </w:tr>
      <w:tr>
        <w:trPr>
          <w:trHeight w:val="135"/>
        </w:trPr>
        <w:tc>
          <w:tcPr>
            <w:tcW w:w="3280" w:type="dxa"/>
            <w:vAlign w:val="bottom"/>
            <w:vMerge w:val="continue"/>
          </w:tcPr>
          <w:p>
            <w:pPr>
              <w:spacing w:after="0"/>
              <w:rPr>
                <w:sz w:val="11"/>
                <w:szCs w:val="11"/>
                <w:color w:val="auto"/>
              </w:rPr>
            </w:pPr>
          </w:p>
        </w:tc>
        <w:tc>
          <w:tcPr>
            <w:tcW w:w="4640" w:type="dxa"/>
            <w:vAlign w:val="bottom"/>
          </w:tcPr>
          <w:p>
            <w:pPr>
              <w:spacing w:after="0"/>
              <w:rPr>
                <w:sz w:val="11"/>
                <w:szCs w:val="11"/>
                <w:color w:val="auto"/>
              </w:rPr>
            </w:pPr>
          </w:p>
        </w:tc>
        <w:tc>
          <w:tcPr>
            <w:tcW w:w="3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80" w:type="dxa"/>
            <w:vAlign w:val="bottom"/>
            <w:tcBorders>
              <w:bottom w:val="single" w:sz="8" w:color="auto"/>
            </w:tcBorders>
          </w:tcPr>
          <w:p>
            <w:pPr>
              <w:spacing w:after="0"/>
              <w:rPr>
                <w:sz w:val="14"/>
                <w:szCs w:val="14"/>
                <w:color w:val="auto"/>
              </w:rPr>
            </w:pPr>
          </w:p>
        </w:tc>
        <w:tc>
          <w:tcPr>
            <w:tcW w:w="464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280" w:type="dxa"/>
            <w:vAlign w:val="bottom"/>
            <w:tcBorders>
              <w:bottom w:val="single" w:sz="8" w:color="auto"/>
            </w:tcBorders>
          </w:tcPr>
          <w:p>
            <w:pPr>
              <w:spacing w:after="0"/>
              <w:rPr>
                <w:sz w:val="4"/>
                <w:szCs w:val="4"/>
                <w:color w:val="auto"/>
              </w:rPr>
            </w:pPr>
          </w:p>
        </w:tc>
        <w:tc>
          <w:tcPr>
            <w:tcW w:w="464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ACM Research,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Class A Common Stock, $0.0001 par value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00108J109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the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 :</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right="8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jc w:val="both"/>
        <w:ind w:right="4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33" w:right="43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CUSIP No. 00108J109</w:t>
            </w:r>
          </w:p>
        </w:tc>
        <w:tc>
          <w:tcPr>
            <w:tcW w:w="4640" w:type="dxa"/>
            <w:vAlign w:val="bottom"/>
          </w:tcPr>
          <w:p>
            <w:pPr>
              <w:ind w:left="1640"/>
              <w:spacing w:after="0"/>
              <w:rPr>
                <w:sz w:val="20"/>
                <w:szCs w:val="20"/>
                <w:color w:val="auto"/>
              </w:rPr>
            </w:pPr>
            <w:r>
              <w:rPr>
                <w:rFonts w:ascii="Arial" w:cs="Arial" w:eastAsia="Arial" w:hAnsi="Arial"/>
                <w:sz w:val="18"/>
                <w:szCs w:val="18"/>
                <w:color w:val="auto"/>
              </w:rPr>
              <w:t>SCHEDULE 13G</w:t>
            </w:r>
          </w:p>
        </w:tc>
        <w:tc>
          <w:tcPr>
            <w:tcW w:w="3100" w:type="dxa"/>
            <w:vAlign w:val="bottom"/>
            <w:vMerge w:val="restart"/>
          </w:tcPr>
          <w:p>
            <w:pPr>
              <w:ind w:left="1720"/>
              <w:spacing w:after="0"/>
              <w:rPr>
                <w:sz w:val="20"/>
                <w:szCs w:val="20"/>
                <w:color w:val="auto"/>
              </w:rPr>
            </w:pPr>
            <w:r>
              <w:rPr>
                <w:rFonts w:ascii="Arial" w:cs="Arial" w:eastAsia="Arial" w:hAnsi="Arial"/>
                <w:sz w:val="18"/>
                <w:szCs w:val="18"/>
                <w:color w:val="auto"/>
                <w:w w:val="91"/>
              </w:rPr>
              <w:t>Page 2 of 5 Pages</w:t>
            </w:r>
          </w:p>
        </w:tc>
        <w:tc>
          <w:tcPr>
            <w:tcW w:w="0" w:type="dxa"/>
            <w:vAlign w:val="bottom"/>
          </w:tcPr>
          <w:p>
            <w:pPr>
              <w:spacing w:after="0"/>
              <w:rPr>
                <w:sz w:val="1"/>
                <w:szCs w:val="1"/>
                <w:color w:val="auto"/>
              </w:rPr>
            </w:pPr>
          </w:p>
        </w:tc>
      </w:tr>
      <w:tr>
        <w:trPr>
          <w:trHeight w:val="135"/>
        </w:trPr>
        <w:tc>
          <w:tcPr>
            <w:tcW w:w="3280" w:type="dxa"/>
            <w:vAlign w:val="bottom"/>
            <w:vMerge w:val="continue"/>
          </w:tcPr>
          <w:p>
            <w:pPr>
              <w:spacing w:after="0"/>
              <w:rPr>
                <w:sz w:val="11"/>
                <w:szCs w:val="11"/>
                <w:color w:val="auto"/>
              </w:rPr>
            </w:pPr>
          </w:p>
        </w:tc>
        <w:tc>
          <w:tcPr>
            <w:tcW w:w="4640" w:type="dxa"/>
            <w:vAlign w:val="bottom"/>
          </w:tcPr>
          <w:p>
            <w:pPr>
              <w:spacing w:after="0"/>
              <w:rPr>
                <w:sz w:val="11"/>
                <w:szCs w:val="11"/>
                <w:color w:val="auto"/>
              </w:rPr>
            </w:pPr>
          </w:p>
        </w:tc>
        <w:tc>
          <w:tcPr>
            <w:tcW w:w="3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624" w:hanging="377"/>
        <w:spacing w:after="0"/>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5400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03415" cy="5400675"/>
                    </a:xfrm>
                    <a:prstGeom prst="rect">
                      <a:avLst/>
                    </a:prstGeom>
                    <a:noFill/>
                  </pic:spPr>
                </pic:pic>
              </a:graphicData>
            </a:graphic>
          </wp:anchor>
        </w:drawing>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22"/>
          <w:szCs w:val="22"/>
          <w:color w:val="auto"/>
        </w:rPr>
        <w:t>GIC Private Limited</w:t>
      </w:r>
    </w:p>
    <w:p>
      <w:pPr>
        <w:spacing w:after="0" w:line="24" w:lineRule="exact"/>
        <w:rPr>
          <w:sz w:val="20"/>
          <w:szCs w:val="20"/>
          <w:color w:val="auto"/>
        </w:rPr>
      </w:pPr>
    </w:p>
    <w:p>
      <w:pPr>
        <w:ind w:left="624" w:hanging="377"/>
        <w:spacing w:after="0"/>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44"/>
        <w:spacing w:after="0"/>
        <w:rPr>
          <w:sz w:val="20"/>
          <w:szCs w:val="20"/>
          <w:color w:val="auto"/>
        </w:rPr>
      </w:pPr>
      <w:r>
        <w:rPr>
          <w:rFonts w:ascii="Arial" w:cs="Arial" w:eastAsia="Arial" w:hAnsi="Arial"/>
          <w:sz w:val="22"/>
          <w:szCs w:val="22"/>
          <w:color w:val="auto"/>
        </w:rPr>
        <w:t>Republic of Singapore</w:t>
      </w:r>
    </w:p>
    <w:p>
      <w:pPr>
        <w:sectPr>
          <w:pgSz w:w="11900" w:h="16838" w:orient="portrait"/>
          <w:cols w:equalWidth="0" w:num="1">
            <w:col w:w="11024"/>
          </w:cols>
          <w:pgMar w:left="436"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44"/>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86" w:hanging="386"/>
        <w:spacing w:after="0"/>
        <w:tabs>
          <w:tab w:leader="none" w:pos="386"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406"/>
        <w:spacing w:after="0"/>
        <w:rPr>
          <w:sz w:val="20"/>
          <w:szCs w:val="20"/>
          <w:color w:val="auto"/>
        </w:rPr>
      </w:pPr>
      <w:r>
        <w:rPr>
          <w:rFonts w:ascii="Arial" w:cs="Arial" w:eastAsia="Arial" w:hAnsi="Arial"/>
          <w:sz w:val="22"/>
          <w:szCs w:val="22"/>
          <w:color w:val="auto"/>
        </w:rPr>
        <w:t>501,051</w:t>
      </w:r>
    </w:p>
    <w:p>
      <w:pPr>
        <w:spacing w:after="0" w:line="24" w:lineRule="exact"/>
        <w:rPr>
          <w:sz w:val="20"/>
          <w:szCs w:val="20"/>
          <w:color w:val="auto"/>
        </w:rPr>
      </w:pPr>
    </w:p>
    <w:p>
      <w:pPr>
        <w:ind w:left="386" w:hanging="386"/>
        <w:spacing w:after="0"/>
        <w:tabs>
          <w:tab w:leader="none" w:pos="386"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406"/>
        <w:spacing w:after="0"/>
        <w:rPr>
          <w:sz w:val="20"/>
          <w:szCs w:val="20"/>
          <w:color w:val="auto"/>
        </w:rPr>
      </w:pPr>
      <w:r>
        <w:rPr>
          <w:rFonts w:ascii="Arial" w:cs="Arial" w:eastAsia="Arial" w:hAnsi="Arial"/>
          <w:sz w:val="22"/>
          <w:szCs w:val="22"/>
          <w:color w:val="auto"/>
        </w:rPr>
        <w:t>151,969</w:t>
      </w:r>
    </w:p>
    <w:p>
      <w:pPr>
        <w:spacing w:after="0" w:line="24" w:lineRule="exact"/>
        <w:rPr>
          <w:sz w:val="20"/>
          <w:szCs w:val="20"/>
          <w:color w:val="auto"/>
        </w:rPr>
      </w:pPr>
    </w:p>
    <w:p>
      <w:pPr>
        <w:ind w:left="386" w:hanging="386"/>
        <w:spacing w:after="0"/>
        <w:tabs>
          <w:tab w:leader="none" w:pos="386"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406"/>
        <w:spacing w:after="0"/>
        <w:rPr>
          <w:sz w:val="20"/>
          <w:szCs w:val="20"/>
          <w:color w:val="auto"/>
        </w:rPr>
      </w:pPr>
      <w:r>
        <w:rPr>
          <w:rFonts w:ascii="Arial" w:cs="Arial" w:eastAsia="Arial" w:hAnsi="Arial"/>
          <w:sz w:val="22"/>
          <w:szCs w:val="22"/>
          <w:color w:val="auto"/>
        </w:rPr>
        <w:t>501,051</w:t>
      </w:r>
    </w:p>
    <w:p>
      <w:pPr>
        <w:spacing w:after="0" w:line="24" w:lineRule="exact"/>
        <w:rPr>
          <w:sz w:val="20"/>
          <w:szCs w:val="20"/>
          <w:color w:val="auto"/>
        </w:rPr>
      </w:pPr>
    </w:p>
    <w:p>
      <w:pPr>
        <w:ind w:left="386" w:hanging="386"/>
        <w:spacing w:after="0"/>
        <w:tabs>
          <w:tab w:leader="none" w:pos="386" w:val="left"/>
        </w:tabs>
        <w:numPr>
          <w:ilvl w:val="0"/>
          <w:numId w:val="11"/>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256" w:lineRule="exact"/>
        <w:rPr>
          <w:sz w:val="20"/>
          <w:szCs w:val="20"/>
          <w:color w:val="auto"/>
        </w:rPr>
      </w:pPr>
    </w:p>
    <w:p>
      <w:pPr>
        <w:ind w:left="406"/>
        <w:spacing w:after="0"/>
        <w:rPr>
          <w:sz w:val="20"/>
          <w:szCs w:val="20"/>
          <w:color w:val="auto"/>
        </w:rPr>
      </w:pPr>
      <w:r>
        <w:rPr>
          <w:rFonts w:ascii="Arial" w:cs="Arial" w:eastAsia="Arial" w:hAnsi="Arial"/>
          <w:sz w:val="22"/>
          <w:szCs w:val="22"/>
          <w:color w:val="auto"/>
        </w:rPr>
        <w:t>151,969</w:t>
      </w:r>
    </w:p>
    <w:p>
      <w:pPr>
        <w:spacing w:after="0" w:line="24" w:lineRule="exact"/>
        <w:rPr>
          <w:sz w:val="20"/>
          <w:szCs w:val="20"/>
          <w:color w:val="auto"/>
        </w:rPr>
      </w:pPr>
    </w:p>
    <w:p>
      <w:pPr>
        <w:sectPr>
          <w:pgSz w:w="11900" w:h="16838" w:orient="portrait"/>
          <w:cols w:equalWidth="0" w:num="2">
            <w:col w:w="1524" w:space="294"/>
            <w:col w:w="9206"/>
          </w:cols>
          <w:pgMar w:left="436" w:top="274" w:right="439" w:bottom="1440" w:gutter="0" w:footer="0" w:header="0"/>
          <w:type w:val="continuous"/>
        </w:sectPr>
      </w:pPr>
    </w:p>
    <w:p>
      <w:pPr>
        <w:ind w:left="604" w:hanging="357"/>
        <w:spacing w:after="0"/>
        <w:tabs>
          <w:tab w:leader="none" w:pos="6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644"/>
        <w:spacing w:after="0"/>
        <w:rPr>
          <w:sz w:val="20"/>
          <w:szCs w:val="20"/>
          <w:color w:val="auto"/>
        </w:rPr>
      </w:pPr>
      <w:r>
        <w:rPr>
          <w:rFonts w:ascii="Arial" w:cs="Arial" w:eastAsia="Arial" w:hAnsi="Arial"/>
          <w:sz w:val="22"/>
          <w:szCs w:val="22"/>
          <w:color w:val="auto"/>
        </w:rPr>
        <w:t>653,020</w:t>
      </w:r>
    </w:p>
    <w:p>
      <w:pPr>
        <w:spacing w:after="0" w:line="24" w:lineRule="exact"/>
        <w:rPr>
          <w:sz w:val="20"/>
          <w:szCs w:val="20"/>
          <w:color w:val="auto"/>
        </w:rPr>
      </w:pPr>
    </w:p>
    <w:p>
      <w:pPr>
        <w:ind w:left="164"/>
        <w:spacing w:after="0"/>
        <w:tabs>
          <w:tab w:leader="none" w:pos="604"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p>
    <w:p>
      <w:pPr>
        <w:spacing w:after="0" w:line="218" w:lineRule="exact"/>
        <w:rPr>
          <w:sz w:val="20"/>
          <w:szCs w:val="20"/>
          <w:color w:val="auto"/>
        </w:rPr>
      </w:pPr>
    </w:p>
    <w:p>
      <w:pPr>
        <w:ind w:left="644"/>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164"/>
        <w:spacing w:after="0"/>
        <w:tabs>
          <w:tab w:leader="none" w:pos="6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29" w:lineRule="exact"/>
        <w:rPr>
          <w:sz w:val="20"/>
          <w:szCs w:val="20"/>
          <w:color w:val="auto"/>
        </w:rPr>
      </w:pPr>
    </w:p>
    <w:p>
      <w:pPr>
        <w:ind w:left="644"/>
        <w:spacing w:after="0"/>
        <w:rPr>
          <w:sz w:val="20"/>
          <w:szCs w:val="20"/>
          <w:color w:val="auto"/>
        </w:rPr>
      </w:pPr>
      <w:r>
        <w:rPr>
          <w:rFonts w:ascii="Arial" w:cs="Arial" w:eastAsia="Arial" w:hAnsi="Arial"/>
          <w:sz w:val="22"/>
          <w:szCs w:val="22"/>
          <w:color w:val="auto"/>
        </w:rPr>
        <w:t xml:space="preserve">3.92% </w:t>
      </w:r>
      <w:r>
        <w:rPr>
          <w:rFonts w:ascii="Arial" w:cs="Arial" w:eastAsia="Arial" w:hAnsi="Arial"/>
          <w:sz w:val="18"/>
          <w:szCs w:val="18"/>
          <w:color w:val="auto"/>
        </w:rPr>
        <w:t>(1)</w:t>
      </w:r>
    </w:p>
    <w:p>
      <w:pPr>
        <w:spacing w:after="0" w:line="24" w:lineRule="exact"/>
        <w:rPr>
          <w:sz w:val="20"/>
          <w:szCs w:val="20"/>
          <w:color w:val="auto"/>
        </w:rPr>
      </w:pPr>
    </w:p>
    <w:p>
      <w:pPr>
        <w:ind w:left="164"/>
        <w:spacing w:after="0"/>
        <w:tabs>
          <w:tab w:leader="none" w:pos="584" w:val="left"/>
        </w:tabs>
        <w:rPr>
          <w:sz w:val="20"/>
          <w:szCs w:val="20"/>
          <w:color w:val="auto"/>
        </w:rPr>
      </w:pPr>
      <w:r>
        <w:rPr>
          <w:rFonts w:ascii="Arial" w:cs="Arial" w:eastAsia="Arial" w:hAnsi="Arial"/>
          <w:sz w:val="18"/>
          <w:szCs w:val="18"/>
          <w:color w:val="auto"/>
        </w:rPr>
        <w:t>12</w:t>
        <w:tab/>
        <w:t>TYPE OF REPORTING PERSON (See Instructions)</w:t>
      </w:r>
    </w:p>
    <w:p>
      <w:pPr>
        <w:spacing w:after="0" w:line="245" w:lineRule="exact"/>
        <w:rPr>
          <w:sz w:val="20"/>
          <w:szCs w:val="20"/>
          <w:color w:val="auto"/>
        </w:rPr>
      </w:pPr>
    </w:p>
    <w:p>
      <w:pPr>
        <w:ind w:left="644"/>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71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93" w:lineRule="exact"/>
        <w:rPr>
          <w:sz w:val="20"/>
          <w:szCs w:val="20"/>
          <w:color w:val="auto"/>
        </w:rPr>
      </w:pPr>
    </w:p>
    <w:p>
      <w:pPr>
        <w:ind w:left="424" w:right="580" w:hanging="424"/>
        <w:spacing w:after="0" w:line="277" w:lineRule="auto"/>
        <w:tabs>
          <w:tab w:leader="none" w:pos="424" w:val="left"/>
        </w:tabs>
        <w:numPr>
          <w:ilvl w:val="0"/>
          <w:numId w:val="13"/>
        </w:numPr>
        <w:rPr>
          <w:rFonts w:ascii="Arial" w:cs="Arial" w:eastAsia="Arial" w:hAnsi="Arial"/>
          <w:sz w:val="15"/>
          <w:szCs w:val="15"/>
          <w:color w:val="auto"/>
        </w:rPr>
      </w:pPr>
      <w:r>
        <w:rPr>
          <w:rFonts w:ascii="Arial" w:cs="Arial" w:eastAsia="Arial" w:hAnsi="Arial"/>
          <w:sz w:val="18"/>
          <w:szCs w:val="18"/>
          <w:color w:val="auto"/>
        </w:rPr>
        <w:t>Based on 16,662,218 Class A Common Stock outstanding as of November 3, 2020, according to the Form 10-Q filed by the Issuer with the Securities and Exchange Commission on November 9, 2020.</w:t>
      </w:r>
    </w:p>
    <w:p>
      <w:pPr>
        <w:sectPr>
          <w:pgSz w:w="11900" w:h="16838" w:orient="portrait"/>
          <w:cols w:equalWidth="0" w:num="1">
            <w:col w:w="11024"/>
          </w:cols>
          <w:pgMar w:left="436" w:top="274" w:right="439" w:bottom="1440" w:gutter="0" w:footer="0" w:header="0"/>
          <w:type w:val="continuous"/>
        </w:sectPr>
      </w:pPr>
    </w:p>
    <w:bookmarkStart w:id="2" w:name="page3"/>
    <w:bookmarkEnd w:id="2"/>
    <w:tbl>
      <w:tblPr>
        <w:tblLayout w:type="fixed"/>
        <w:tblInd w:w="4" w:type="dxa"/>
        <w:tblCellMar>
          <w:top w:w="0" w:type="dxa"/>
          <w:left w:w="0" w:type="dxa"/>
          <w:bottom w:w="0" w:type="dxa"/>
          <w:right w:w="0" w:type="dxa"/>
        </w:tblCellMar>
      </w:tblP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CUSIP No. 00108J109</w:t>
            </w:r>
          </w:p>
        </w:tc>
        <w:tc>
          <w:tcPr>
            <w:tcW w:w="4640" w:type="dxa"/>
            <w:vAlign w:val="bottom"/>
          </w:tcPr>
          <w:p>
            <w:pPr>
              <w:ind w:left="1640"/>
              <w:spacing w:after="0"/>
              <w:rPr>
                <w:sz w:val="20"/>
                <w:szCs w:val="20"/>
                <w:color w:val="auto"/>
              </w:rPr>
            </w:pPr>
            <w:r>
              <w:rPr>
                <w:rFonts w:ascii="Arial" w:cs="Arial" w:eastAsia="Arial" w:hAnsi="Arial"/>
                <w:sz w:val="18"/>
                <w:szCs w:val="18"/>
                <w:color w:val="auto"/>
              </w:rPr>
              <w:t>SCHEDULE 13G</w:t>
            </w:r>
          </w:p>
        </w:tc>
        <w:tc>
          <w:tcPr>
            <w:tcW w:w="3100" w:type="dxa"/>
            <w:vAlign w:val="bottom"/>
            <w:vMerge w:val="restart"/>
          </w:tcPr>
          <w:p>
            <w:pPr>
              <w:ind w:left="1720"/>
              <w:spacing w:after="0"/>
              <w:rPr>
                <w:sz w:val="20"/>
                <w:szCs w:val="20"/>
                <w:color w:val="auto"/>
              </w:rPr>
            </w:pPr>
            <w:r>
              <w:rPr>
                <w:rFonts w:ascii="Arial" w:cs="Arial" w:eastAsia="Arial" w:hAnsi="Arial"/>
                <w:sz w:val="18"/>
                <w:szCs w:val="18"/>
                <w:color w:val="auto"/>
                <w:w w:val="91"/>
              </w:rPr>
              <w:t>Page 3 of 5 Pages</w:t>
            </w:r>
          </w:p>
        </w:tc>
        <w:tc>
          <w:tcPr>
            <w:tcW w:w="0" w:type="dxa"/>
            <w:vAlign w:val="bottom"/>
          </w:tcPr>
          <w:p>
            <w:pPr>
              <w:spacing w:after="0"/>
              <w:rPr>
                <w:sz w:val="1"/>
                <w:szCs w:val="1"/>
                <w:color w:val="auto"/>
              </w:rPr>
            </w:pPr>
          </w:p>
        </w:tc>
      </w:tr>
      <w:tr>
        <w:trPr>
          <w:trHeight w:val="135"/>
        </w:trPr>
        <w:tc>
          <w:tcPr>
            <w:tcW w:w="3280" w:type="dxa"/>
            <w:vAlign w:val="bottom"/>
            <w:vMerge w:val="continue"/>
          </w:tcPr>
          <w:p>
            <w:pPr>
              <w:spacing w:after="0"/>
              <w:rPr>
                <w:sz w:val="11"/>
                <w:szCs w:val="11"/>
                <w:color w:val="auto"/>
              </w:rPr>
            </w:pPr>
          </w:p>
        </w:tc>
        <w:tc>
          <w:tcPr>
            <w:tcW w:w="4640" w:type="dxa"/>
            <w:vAlign w:val="bottom"/>
          </w:tcPr>
          <w:p>
            <w:pPr>
              <w:spacing w:after="0"/>
              <w:rPr>
                <w:sz w:val="11"/>
                <w:szCs w:val="11"/>
                <w:color w:val="auto"/>
              </w:rPr>
            </w:pPr>
          </w:p>
        </w:tc>
        <w:tc>
          <w:tcPr>
            <w:tcW w:w="3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b w:val="1"/>
          <w:bCs w:val="1"/>
          <w:color w:val="auto"/>
        </w:rPr>
        <w:t>Item 1(a) Name of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ACM Research, Inc.</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42307 Osgood Road, Suite I</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Fremont, California 94539</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2(a) Name of Persons Filing</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GIC Private Limited (“GIC”)</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168 Robinson Road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#37-01 Capital Tower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Singapore 068912</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2(c) Citizenship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Singapore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2(d) Title of Class of Securities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Class A Common Stock, $0.0001 par value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2(e) CUSIP Number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00108J109</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3 If this statement in filed pursuant to §§240.13d-1(b), or 13d-2(b) or (c), check whether the person filing is a:</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left="4" w:right="80"/>
        <w:spacing w:after="0" w:line="311" w:lineRule="auto"/>
        <w:rPr>
          <w:sz w:val="20"/>
          <w:szCs w:val="20"/>
          <w:color w:val="auto"/>
        </w:rPr>
      </w:pPr>
      <w:r>
        <w:rPr>
          <w:rFonts w:ascii="Arial" w:cs="Arial" w:eastAsia="Arial" w:hAnsi="Arial"/>
          <w:sz w:val="16"/>
          <w:szCs w:val="16"/>
          <w:color w:val="auto"/>
        </w:rPr>
        <w:t>(a – c) The aggregate number of securities and percentage of the class of securities of the Issuer beneficially owned by the Reporting Person named in Item 2(a), as well as the number of securities as to which such person is deemed to have sole power to vote or to direct the vote, shared power to vote or to direct the vote, sole power to dispose or to direct the disposition, shared power to dispose or direct the disposition, is set forth in the following tables:</w:t>
      </w:r>
    </w:p>
    <w:p>
      <w:pPr>
        <w:spacing w:after="0" w:line="167"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Reporting Person</w:t>
            </w:r>
          </w:p>
        </w:tc>
        <w:tc>
          <w:tcPr>
            <w:tcW w:w="2740" w:type="dxa"/>
            <w:vAlign w:val="bottom"/>
            <w:vMerge w:val="restart"/>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No. of Securities</w:t>
            </w: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gridSpan w:val="4"/>
          </w:tcPr>
          <w:p>
            <w:pPr>
              <w:ind w:left="540"/>
              <w:spacing w:after="0"/>
              <w:rPr>
                <w:sz w:val="20"/>
                <w:szCs w:val="20"/>
                <w:color w:val="auto"/>
              </w:rPr>
            </w:pPr>
            <w:r>
              <w:rPr>
                <w:rFonts w:ascii="Arial" w:cs="Arial" w:eastAsia="Arial" w:hAnsi="Arial"/>
                <w:sz w:val="14"/>
                <w:szCs w:val="14"/>
                <w:b w:val="1"/>
                <w:bCs w:val="1"/>
                <w:color w:val="auto"/>
              </w:rPr>
              <w:t>Voting Power</w:t>
            </w:r>
          </w:p>
        </w:tc>
        <w:tc>
          <w:tcPr>
            <w:tcW w:w="1960" w:type="dxa"/>
            <w:vAlign w:val="bottom"/>
            <w:gridSpan w:val="4"/>
          </w:tcPr>
          <w:p>
            <w:pPr>
              <w:ind w:left="400"/>
              <w:spacing w:after="0"/>
              <w:rPr>
                <w:sz w:val="20"/>
                <w:szCs w:val="20"/>
                <w:color w:val="auto"/>
              </w:rPr>
            </w:pPr>
            <w:r>
              <w:rPr>
                <w:rFonts w:ascii="Arial" w:cs="Arial" w:eastAsia="Arial" w:hAnsi="Arial"/>
                <w:sz w:val="14"/>
                <w:szCs w:val="14"/>
                <w:b w:val="1"/>
                <w:bCs w:val="1"/>
                <w:color w:val="auto"/>
              </w:rPr>
              <w:t>Dispositive Power</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auto"/>
            </w:tcBorders>
            <w:vMerge w:val="continue"/>
          </w:tcPr>
          <w:p>
            <w:pPr>
              <w:spacing w:after="0"/>
              <w:rPr>
                <w:sz w:val="12"/>
                <w:szCs w:val="12"/>
                <w:color w:val="auto"/>
              </w:rPr>
            </w:pPr>
          </w:p>
        </w:tc>
        <w:tc>
          <w:tcPr>
            <w:tcW w:w="2740" w:type="dxa"/>
            <w:vAlign w:val="bottom"/>
            <w:vMerge w:val="continue"/>
          </w:tcPr>
          <w:p>
            <w:pPr>
              <w:spacing w:after="0"/>
              <w:rPr>
                <w:sz w:val="12"/>
                <w:szCs w:val="12"/>
                <w:color w:val="auto"/>
              </w:rPr>
            </w:pPr>
          </w:p>
        </w:tc>
        <w:tc>
          <w:tcPr>
            <w:tcW w:w="150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1"/>
              </w:rPr>
              <w:t>Beneficially Owned</w:t>
            </w:r>
          </w:p>
        </w:tc>
        <w:tc>
          <w:tcPr>
            <w:tcW w:w="152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90"/>
              </w:rPr>
              <w:t>Percent of Class (3)</w:t>
            </w:r>
          </w:p>
        </w:tc>
        <w:tc>
          <w:tcPr>
            <w:tcW w:w="102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90"/>
              </w:rPr>
              <w:t>Sole (1), (2)</w:t>
            </w: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Shared (1), (2)</w:t>
            </w:r>
          </w:p>
        </w:tc>
        <w:tc>
          <w:tcPr>
            <w:tcW w:w="32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0"/>
              </w:rPr>
              <w:t>Sole (1), (2)</w:t>
            </w: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4"/>
              </w:rPr>
              <w:t>Shared (1), (2)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GIC Private Limited</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653,020</w:t>
            </w:r>
          </w:p>
        </w:tc>
        <w:tc>
          <w:tcPr>
            <w:tcW w:w="3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3.92</w:t>
            </w: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501,051</w:t>
            </w: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151,969</w:t>
            </w: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501,051</w:t>
            </w:r>
          </w:p>
        </w:tc>
        <w:tc>
          <w:tcPr>
            <w:tcW w:w="3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151,969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24" w:right="100" w:hanging="424"/>
        <w:spacing w:after="0" w:line="279" w:lineRule="auto"/>
        <w:tabs>
          <w:tab w:leader="none" w:pos="4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GIC is a fund manager and only has 2 clients – the Government of Singapore (“GoS”) and the Monetary Authority of Singapore (“MAS”). Under the investment management agreement with GoS, GIC has been given the sole discretion to exercise the voting rights attached to, and the disposition of, any shares managed on behalf of GoS. As such, GIC has the sole power to vote and power to dispose of the 501,051 securities beneficially owned by it. GIC shares power to vote and dispose of 151,969 securities beneficially owned by it with MAS.</w:t>
      </w:r>
    </w:p>
    <w:p>
      <w:pPr>
        <w:sectPr>
          <w:pgSz w:w="11900" w:h="16838" w:orient="portrait"/>
          <w:cols w:equalWidth="0" w:num="1">
            <w:col w:w="11024"/>
          </w:cols>
          <w:pgMar w:left="436" w:top="274"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CUSIP No. 00108J109</w:t>
            </w:r>
          </w:p>
        </w:tc>
        <w:tc>
          <w:tcPr>
            <w:tcW w:w="4640" w:type="dxa"/>
            <w:vAlign w:val="bottom"/>
          </w:tcPr>
          <w:p>
            <w:pPr>
              <w:ind w:left="1640"/>
              <w:spacing w:after="0"/>
              <w:rPr>
                <w:sz w:val="20"/>
                <w:szCs w:val="20"/>
                <w:color w:val="auto"/>
              </w:rPr>
            </w:pPr>
            <w:r>
              <w:rPr>
                <w:rFonts w:ascii="Arial" w:cs="Arial" w:eastAsia="Arial" w:hAnsi="Arial"/>
                <w:sz w:val="18"/>
                <w:szCs w:val="18"/>
                <w:color w:val="auto"/>
              </w:rPr>
              <w:t>SCHEDULE 13G</w:t>
            </w:r>
          </w:p>
        </w:tc>
        <w:tc>
          <w:tcPr>
            <w:tcW w:w="3100" w:type="dxa"/>
            <w:vAlign w:val="bottom"/>
            <w:vMerge w:val="restart"/>
          </w:tcPr>
          <w:p>
            <w:pPr>
              <w:ind w:left="1720"/>
              <w:spacing w:after="0"/>
              <w:rPr>
                <w:sz w:val="20"/>
                <w:szCs w:val="20"/>
                <w:color w:val="auto"/>
              </w:rPr>
            </w:pPr>
            <w:r>
              <w:rPr>
                <w:rFonts w:ascii="Arial" w:cs="Arial" w:eastAsia="Arial" w:hAnsi="Arial"/>
                <w:sz w:val="18"/>
                <w:szCs w:val="18"/>
                <w:color w:val="auto"/>
                <w:w w:val="91"/>
              </w:rPr>
              <w:t>Page 4 of 5 Pages</w:t>
            </w:r>
          </w:p>
        </w:tc>
        <w:tc>
          <w:tcPr>
            <w:tcW w:w="0" w:type="dxa"/>
            <w:vAlign w:val="bottom"/>
          </w:tcPr>
          <w:p>
            <w:pPr>
              <w:spacing w:after="0"/>
              <w:rPr>
                <w:sz w:val="1"/>
                <w:szCs w:val="1"/>
                <w:color w:val="auto"/>
              </w:rPr>
            </w:pPr>
          </w:p>
        </w:tc>
      </w:tr>
      <w:tr>
        <w:trPr>
          <w:trHeight w:val="135"/>
        </w:trPr>
        <w:tc>
          <w:tcPr>
            <w:tcW w:w="3280" w:type="dxa"/>
            <w:vAlign w:val="bottom"/>
            <w:vMerge w:val="continue"/>
          </w:tcPr>
          <w:p>
            <w:pPr>
              <w:spacing w:after="0"/>
              <w:rPr>
                <w:sz w:val="11"/>
                <w:szCs w:val="11"/>
                <w:color w:val="auto"/>
              </w:rPr>
            </w:pPr>
          </w:p>
        </w:tc>
        <w:tc>
          <w:tcPr>
            <w:tcW w:w="4640" w:type="dxa"/>
            <w:vAlign w:val="bottom"/>
          </w:tcPr>
          <w:p>
            <w:pPr>
              <w:spacing w:after="0"/>
              <w:rPr>
                <w:sz w:val="11"/>
                <w:szCs w:val="11"/>
                <w:color w:val="auto"/>
              </w:rPr>
            </w:pPr>
          </w:p>
        </w:tc>
        <w:tc>
          <w:tcPr>
            <w:tcW w:w="3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hanging="424"/>
        <w:spacing w:after="0"/>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GIC disclaims membership in a group.</w:t>
      </w:r>
    </w:p>
    <w:p>
      <w:pPr>
        <w:spacing w:after="0" w:line="23" w:lineRule="exact"/>
        <w:rPr>
          <w:rFonts w:ascii="Arial" w:cs="Arial" w:eastAsia="Arial" w:hAnsi="Arial"/>
          <w:sz w:val="18"/>
          <w:szCs w:val="18"/>
          <w:color w:val="auto"/>
        </w:rPr>
      </w:pPr>
    </w:p>
    <w:p>
      <w:pPr>
        <w:ind w:left="424" w:right="580" w:hanging="424"/>
        <w:spacing w:after="0" w:line="260"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16,662,218 Class A Common Stock outstanding as of November 3, 2020, according to the Form 10-Q filed by the Issuer with the Securities and Exchange Commission on November 9, 2020.</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3.92%</w:t>
      </w:r>
    </w:p>
    <w:p>
      <w:pPr>
        <w:spacing w:after="0" w:line="329" w:lineRule="exact"/>
        <w:rPr>
          <w:sz w:val="20"/>
          <w:szCs w:val="20"/>
          <w:color w:val="auto"/>
        </w:rPr>
      </w:pPr>
    </w:p>
    <w:p>
      <w:pPr>
        <w:ind w:left="4" w:right="5340"/>
        <w:spacing w:after="0" w:line="407" w:lineRule="auto"/>
        <w:rPr>
          <w:sz w:val="20"/>
          <w:szCs w:val="20"/>
          <w:color w:val="auto"/>
        </w:rPr>
      </w:pPr>
      <w:r>
        <w:rPr>
          <w:rFonts w:ascii="Arial" w:cs="Arial" w:eastAsia="Arial" w:hAnsi="Arial"/>
          <w:sz w:val="18"/>
          <w:szCs w:val="18"/>
          <w:b w:val="1"/>
          <w:bCs w:val="1"/>
          <w:color w:val="auto"/>
        </w:rPr>
        <w:t xml:space="preserve">Item 6 Ownership of More than Five Percent on Behalf of Another Person </w:t>
      </w:r>
      <w:r>
        <w:rPr>
          <w:rFonts w:ascii="Arial" w:cs="Arial" w:eastAsia="Arial" w:hAnsi="Arial"/>
          <w:sz w:val="18"/>
          <w:szCs w:val="18"/>
          <w:color w:val="auto"/>
        </w:rPr>
        <w:t>Not applicable.</w:t>
      </w:r>
    </w:p>
    <w:p>
      <w:pPr>
        <w:spacing w:after="0" w:line="162" w:lineRule="exact"/>
        <w:rPr>
          <w:sz w:val="20"/>
          <w:szCs w:val="20"/>
          <w:color w:val="auto"/>
        </w:rPr>
      </w:pPr>
    </w:p>
    <w:p>
      <w:pPr>
        <w:ind w:left="4" w:right="360"/>
        <w:spacing w:after="0" w:line="407" w:lineRule="auto"/>
        <w:rPr>
          <w:sz w:val="20"/>
          <w:szCs w:val="20"/>
          <w:color w:val="auto"/>
        </w:rPr>
      </w:pPr>
      <w:r>
        <w:rPr>
          <w:rFonts w:ascii="Arial" w:cs="Arial" w:eastAsia="Arial" w:hAnsi="Arial"/>
          <w:sz w:val="18"/>
          <w:szCs w:val="18"/>
          <w:b w:val="1"/>
          <w:bCs w:val="1"/>
          <w:color w:val="auto"/>
        </w:rPr>
        <w:t xml:space="preserve">Item 7 Identification and Classification of the Subsidiary Which Acquired the Security Being Reported on by the Parent Holding Company </w:t>
      </w:r>
      <w:r>
        <w:rPr>
          <w:rFonts w:ascii="Arial" w:cs="Arial" w:eastAsia="Arial" w:hAnsi="Arial"/>
          <w:sz w:val="18"/>
          <w:szCs w:val="18"/>
          <w:color w:val="auto"/>
        </w:rPr>
        <w:t>Not applicable.</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10 Certifications</w:t>
      </w:r>
    </w:p>
    <w:p>
      <w:pPr>
        <w:spacing w:after="0" w:line="121" w:lineRule="exact"/>
        <w:rPr>
          <w:sz w:val="20"/>
          <w:szCs w:val="20"/>
          <w:color w:val="auto"/>
        </w:rPr>
      </w:pPr>
    </w:p>
    <w:p>
      <w:pPr>
        <w:ind w:left="4" w:right="14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1024"/>
          </w:cols>
          <w:pgMar w:left="436" w:top="274"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CUSIP No. 00108J109</w:t>
            </w:r>
          </w:p>
        </w:tc>
        <w:tc>
          <w:tcPr>
            <w:tcW w:w="4640" w:type="dxa"/>
            <w:vAlign w:val="bottom"/>
          </w:tcPr>
          <w:p>
            <w:pPr>
              <w:ind w:left="1640"/>
              <w:spacing w:after="0"/>
              <w:rPr>
                <w:sz w:val="20"/>
                <w:szCs w:val="20"/>
                <w:color w:val="auto"/>
              </w:rPr>
            </w:pPr>
            <w:r>
              <w:rPr>
                <w:rFonts w:ascii="Arial" w:cs="Arial" w:eastAsia="Arial" w:hAnsi="Arial"/>
                <w:sz w:val="18"/>
                <w:szCs w:val="18"/>
                <w:color w:val="auto"/>
              </w:rPr>
              <w:t>SCHEDULE 13G</w:t>
            </w:r>
          </w:p>
        </w:tc>
        <w:tc>
          <w:tcPr>
            <w:tcW w:w="3100" w:type="dxa"/>
            <w:vAlign w:val="bottom"/>
            <w:vMerge w:val="restart"/>
          </w:tcPr>
          <w:p>
            <w:pPr>
              <w:ind w:left="1720"/>
              <w:spacing w:after="0"/>
              <w:rPr>
                <w:sz w:val="20"/>
                <w:szCs w:val="20"/>
                <w:color w:val="auto"/>
              </w:rPr>
            </w:pPr>
            <w:r>
              <w:rPr>
                <w:rFonts w:ascii="Arial" w:cs="Arial" w:eastAsia="Arial" w:hAnsi="Arial"/>
                <w:sz w:val="18"/>
                <w:szCs w:val="18"/>
                <w:color w:val="auto"/>
                <w:w w:val="91"/>
              </w:rPr>
              <w:t>Page 5 of 5 Pages</w:t>
            </w:r>
          </w:p>
        </w:tc>
        <w:tc>
          <w:tcPr>
            <w:tcW w:w="0" w:type="dxa"/>
            <w:vAlign w:val="bottom"/>
          </w:tcPr>
          <w:p>
            <w:pPr>
              <w:spacing w:after="0"/>
              <w:rPr>
                <w:sz w:val="1"/>
                <w:szCs w:val="1"/>
                <w:color w:val="auto"/>
              </w:rPr>
            </w:pPr>
          </w:p>
        </w:tc>
      </w:tr>
      <w:tr>
        <w:trPr>
          <w:trHeight w:val="135"/>
        </w:trPr>
        <w:tc>
          <w:tcPr>
            <w:tcW w:w="3280" w:type="dxa"/>
            <w:vAlign w:val="bottom"/>
            <w:vMerge w:val="continue"/>
          </w:tcPr>
          <w:p>
            <w:pPr>
              <w:spacing w:after="0"/>
              <w:rPr>
                <w:sz w:val="11"/>
                <w:szCs w:val="11"/>
                <w:color w:val="auto"/>
              </w:rPr>
            </w:pPr>
          </w:p>
        </w:tc>
        <w:tc>
          <w:tcPr>
            <w:tcW w:w="4640" w:type="dxa"/>
            <w:vAlign w:val="bottom"/>
          </w:tcPr>
          <w:p>
            <w:pPr>
              <w:spacing w:after="0"/>
              <w:rPr>
                <w:sz w:val="11"/>
                <w:szCs w:val="11"/>
                <w:color w:val="auto"/>
              </w:rPr>
            </w:pPr>
          </w:p>
        </w:tc>
        <w:tc>
          <w:tcPr>
            <w:tcW w:w="3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4"/>
        </w:trPr>
        <w:tc>
          <w:tcPr>
            <w:tcW w:w="3280" w:type="dxa"/>
            <w:vAlign w:val="bottom"/>
          </w:tcPr>
          <w:p>
            <w:pPr>
              <w:spacing w:after="0"/>
              <w:rPr>
                <w:sz w:val="24"/>
                <w:szCs w:val="24"/>
                <w:color w:val="auto"/>
              </w:rPr>
            </w:pPr>
          </w:p>
        </w:tc>
        <w:tc>
          <w:tcPr>
            <w:tcW w:w="4640" w:type="dxa"/>
            <w:vAlign w:val="bottom"/>
          </w:tcPr>
          <w:p>
            <w:pPr>
              <w:ind w:left="1700"/>
              <w:spacing w:after="0"/>
              <w:rPr>
                <w:sz w:val="20"/>
                <w:szCs w:val="20"/>
                <w:color w:val="auto"/>
              </w:rPr>
            </w:pPr>
            <w:r>
              <w:rPr>
                <w:rFonts w:ascii="Arial" w:cs="Arial" w:eastAsia="Arial" w:hAnsi="Arial"/>
                <w:sz w:val="18"/>
                <w:szCs w:val="18"/>
                <w:b w:val="1"/>
                <w:bCs w:val="1"/>
                <w:color w:val="auto"/>
              </w:rPr>
              <w:t>SIGNATURE</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both"/>
        <w:ind w:right="2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as of February 12, 2021.</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GIC PRIVATE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Celine Loh Sze Ling</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Celine Loh Sze Ling</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Senior Vice President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Toh Tze Meng</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Toh Tze Meng</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Senior Vice President</w:t>
            </w:r>
          </w:p>
        </w:tc>
      </w:tr>
    </w:tbl>
    <w:p>
      <w:pPr>
        <w:spacing w:after="0" w:line="1" w:lineRule="exact"/>
        <w:rPr>
          <w:sz w:val="20"/>
          <w:szCs w:val="20"/>
          <w:color w:val="auto"/>
        </w:rPr>
      </w:pP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lvl w:ilvl="1">
      <w:lvlJc w:val="left"/>
      <w:lvlText w:val="☐"/>
      <w:numFmt w:val="bullet"/>
      <w:start w:val="1"/>
    </w:lvl>
  </w:abstractNum>
  <w:abstractNum w:abstractNumId="3">
    <w:nsid w:val="12200854"/>
    <w:multiLevelType w:val="hybridMultilevel"/>
    <w:lvl w:ilvl="0">
      <w:lvlJc w:val="left"/>
      <w:lvlText w:val="1"/>
      <w:numFmt w:val="bullet"/>
      <w:start w:val="1"/>
    </w:lvl>
  </w:abstractNum>
  <w:abstractNum w:abstractNumId="4">
    <w:nsid w:val="4DB127F8"/>
    <w:multiLevelType w:val="hybridMultilevel"/>
    <w:lvl w:ilvl="0">
      <w:lvlJc w:val="left"/>
      <w:lvlText w:val="2"/>
      <w:numFmt w:val="bullet"/>
      <w:start w:val="1"/>
    </w:lvl>
  </w:abstractNum>
  <w:abstractNum w:abstractNumId="5">
    <w:nsid w:val="216231B"/>
    <w:multiLevelType w:val="hybridMultilevel"/>
    <w:lvl w:ilvl="0">
      <w:lvlJc w:val="left"/>
      <w:lvlText w:val="3"/>
      <w:numFmt w:val="bullet"/>
      <w:start w:val="1"/>
    </w:lvl>
  </w:abstractNum>
  <w:abstractNum w:abstractNumId="6">
    <w:nsid w:val="1F16E9E8"/>
    <w:multiLevelType w:val="hybridMultilevel"/>
    <w:lvl w:ilvl="0">
      <w:lvlJc w:val="left"/>
      <w:lvlText w:val="4"/>
      <w:numFmt w:val="bullet"/>
      <w:start w:val="1"/>
    </w:lvl>
  </w:abstractNum>
  <w:abstractNum w:abstractNumId="7">
    <w:nsid w:val="1190CDE7"/>
    <w:multiLevelType w:val="hybridMultilevel"/>
    <w:lvl w:ilvl="0">
      <w:lvlJc w:val="left"/>
      <w:lvlText w:val="5"/>
      <w:numFmt w:val="bullet"/>
      <w:start w:val="1"/>
    </w:lvl>
  </w:abstractNum>
  <w:abstractNum w:abstractNumId="8">
    <w:nsid w:val="66EF438D"/>
    <w:multiLevelType w:val="hybridMultilevel"/>
    <w:lvl w:ilvl="0">
      <w:lvlJc w:val="left"/>
      <w:lvlText w:val="6"/>
      <w:numFmt w:val="bullet"/>
      <w:start w:val="1"/>
    </w:lvl>
  </w:abstractNum>
  <w:abstractNum w:abstractNumId="9">
    <w:nsid w:val="140E0F76"/>
    <w:multiLevelType w:val="hybridMultilevel"/>
    <w:lvl w:ilvl="0">
      <w:lvlJc w:val="left"/>
      <w:lvlText w:val="7"/>
      <w:numFmt w:val="bullet"/>
      <w:start w:val="1"/>
    </w:lvl>
  </w:abstractNum>
  <w:abstractNum w:abstractNumId="10">
    <w:nsid w:val="3352255A"/>
    <w:multiLevelType w:val="hybridMultilevel"/>
    <w:lvl w:ilvl="0">
      <w:lvlJc w:val="left"/>
      <w:lvlText w:val="8"/>
      <w:numFmt w:val="bullet"/>
      <w:start w:val="1"/>
    </w:lvl>
  </w:abstractNum>
  <w:abstractNum w:abstractNumId="11">
    <w:nsid w:val="109CF92E"/>
    <w:multiLevelType w:val="hybridMultilevel"/>
    <w:lvl w:ilvl="0">
      <w:lvlJc w:val="left"/>
      <w:lvlText w:val="9"/>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2021-02-12T15:26:07Z</dcterms:created>
  <dcterms:modified xsi:type="dcterms:W3CDTF">2021-02-12T15:26:07Z</dcterms:modified>
</cp:coreProperties>
</file>