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Feng Lisa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740"/>
        <w:spacing w:after="0" w:line="348" w:lineRule="auto"/>
        <w:rPr>
          <w:sz w:val="20"/>
          <w:szCs w:val="20"/>
          <w:color w:val="auto"/>
        </w:rPr>
      </w:pPr>
      <w:r>
        <w:rPr>
          <w:rFonts w:ascii="Arial" w:cs="Arial" w:eastAsia="Arial" w:hAnsi="Arial"/>
          <w:sz w:val="15"/>
          <w:szCs w:val="15"/>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03/18/2020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7"/>
        <w:spacing w:after="0"/>
        <w:rPr>
          <w:sz w:val="20"/>
          <w:szCs w:val="20"/>
          <w:color w:val="auto"/>
        </w:rPr>
      </w:pPr>
      <w:r>
        <w:rPr>
          <w:rFonts w:ascii="Arial" w:cs="Arial" w:eastAsia="Arial" w:hAnsi="Arial"/>
          <w:sz w:val="17"/>
          <w:szCs w:val="17"/>
          <w:color w:val="0000FF"/>
        </w:rPr>
        <w:t>See remarks</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1"/>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1"/>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94539</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jc w:val="center"/>
              <w:ind w:left="594"/>
              <w:spacing w:after="0"/>
              <w:rPr>
                <w:sz w:val="20"/>
                <w:szCs w:val="20"/>
                <w:color w:val="auto"/>
              </w:rPr>
            </w:pPr>
            <w:r>
              <w:rPr>
                <w:rFonts w:ascii="Arial" w:cs="Arial" w:eastAsia="Arial" w:hAnsi="Arial"/>
                <w:sz w:val="17"/>
                <w:szCs w:val="17"/>
                <w:color w:val="0000FF"/>
                <w:w w:val="89"/>
              </w:rPr>
              <w:t>03/18/2020</w:t>
            </w:r>
          </w:p>
        </w:tc>
        <w:tc>
          <w:tcPr>
            <w:tcW w:w="8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3,817</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5.6</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10,760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46"/>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46"/>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8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3,817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5.6</w:t>
            </w: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03/18/2020</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8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3,817</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11/01/2027</w:t>
            </w:r>
          </w:p>
        </w:tc>
        <w:tc>
          <w:tcPr>
            <w:tcW w:w="620" w:type="dxa"/>
            <w:vAlign w:val="bottom"/>
            <w:vMerge w:val="restart"/>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5,907</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-3156585</wp:posOffset>
            </wp:positionV>
            <wp:extent cx="7033260" cy="3199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19913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18, 2020, the reporting person exercised previously issued stock options to purchase 3,817 shares of Class A Common Stock of the Issuer.</w:t>
      </w:r>
    </w:p>
    <w:p>
      <w:pPr>
        <w:spacing w:after="0" w:line="45" w:lineRule="exact"/>
        <w:rPr>
          <w:rFonts w:ascii="Arial" w:cs="Arial" w:eastAsia="Arial" w:hAnsi="Arial"/>
          <w:sz w:val="13"/>
          <w:szCs w:val="13"/>
          <w:color w:val="008000"/>
        </w:rPr>
      </w:pPr>
    </w:p>
    <w:p>
      <w:pPr>
        <w:ind w:left="40" w:right="3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and became exercisable as to 4,167 shares on August 15, 2018 and the remaining 12,500 shares vest and become exercisable in equal monthly installments over the following 36 months, subject to continued service through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of ACM Research (Shanghai), Inc.</w:t>
      </w:r>
    </w:p>
    <w:p>
      <w:pPr>
        <w:ind w:left="6600"/>
        <w:spacing w:after="0" w:line="185" w:lineRule="auto"/>
        <w:rPr>
          <w:sz w:val="20"/>
          <w:szCs w:val="20"/>
          <w:color w:val="auto"/>
        </w:rPr>
      </w:pPr>
      <w:r>
        <w:rPr>
          <w:rFonts w:ascii="Arial" w:cs="Arial" w:eastAsia="Arial" w:hAnsi="Arial"/>
          <w:sz w:val="17"/>
          <w:szCs w:val="17"/>
          <w:color w:val="0000FF"/>
        </w:rPr>
        <w:t xml:space="preserve">/s/ Mark L. Johnson, Attorney- </w:t>
      </w:r>
      <w:r>
        <w:rPr>
          <w:rFonts w:ascii="Arial" w:cs="Arial" w:eastAsia="Arial" w:hAnsi="Arial"/>
          <w:sz w:val="33"/>
          <w:szCs w:val="33"/>
          <w:color w:val="0000FF"/>
          <w:vertAlign w:val="subscript"/>
        </w:rPr>
        <w:t>03/20/2020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Lisa Feng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908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0805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9777"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2020-03-20T15:32:46Z</dcterms:created>
  <dcterms:modified xsi:type="dcterms:W3CDTF">2020-03-20T15:32:46Z</dcterms:modified>
</cp:coreProperties>
</file>