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Wang Jian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66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ACM RESEARCH, INC. 42307 OSGOOD ROAD, SUITE 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ACM Research,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ACMR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46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25" w:right="4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16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08/27/2019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10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10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Shengxin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(Shanghai)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156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242,681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Management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-1348105</wp:posOffset>
            </wp:positionV>
            <wp:extent cx="69640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9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Consulting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9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Limited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9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Partnership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62865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8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Form 4 amendment has been filed solely to correct the indirect beneficial ownership of the reporting person. The amount of securities reported herein as beneficially owned reflects a reduction of 84,386 shares of Class A common stock, which are held directly by the reporting person and which were inadvertently included in indirect beneficial ownership. This same amount was included in indirect beneficial ownership on a Form 4 filed on July 31, 2018. In that Form 4, the amount of securities included in indirect beneficial ownership should have been reduced by 84,386 shares.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Chief Executive Officer and President of ACM Research (Shanghai), Inc., a subsidiary of the Issuer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Mark L. Johnson,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074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Jian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04/27/2020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Wang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5400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21620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2020-04-27T19:26:11Z</dcterms:created>
  <dcterms:modified xsi:type="dcterms:W3CDTF">2020-04-27T19:26:11Z</dcterms:modified>
</cp:coreProperties>
</file>