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13">
              <w:r>
                <w:rPr>
                  <w:rFonts w:ascii="Arial" w:cs="Arial" w:eastAsia="Arial" w:hAnsi="Arial"/>
                  <w:sz w:val="21"/>
                  <w:szCs w:val="21"/>
                  <w:color w:val="0000EE"/>
                </w:rPr>
                <w:t>Liu Tracy</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7"/>
          </w:tcPr>
          <w:p>
            <w:pPr>
              <w:spacing w:after="0" w:line="103" w:lineRule="exact"/>
              <w:rPr>
                <w:rFonts w:ascii="Arial" w:cs="Arial" w:eastAsia="Arial" w:hAnsi="Arial"/>
                <w:sz w:val="11"/>
                <w:szCs w:val="11"/>
                <w:color w:val="0000EE"/>
              </w:rPr>
            </w:pPr>
            <w:hyperlink r:id="rId14">
              <w:r>
                <w:rPr>
                  <w:rFonts w:ascii="Arial" w:cs="Arial" w:eastAsia="Arial" w:hAnsi="Arial"/>
                  <w:sz w:val="11"/>
                  <w:szCs w:val="11"/>
                  <w:color w:val="0000EE"/>
                </w:rPr>
                <w:t xml:space="preserve">ACM Research,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ACMR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64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03/18/2020</w:t>
            </w: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ACM RESEARCH, INC.</w:t>
            </w:r>
          </w:p>
        </w:tc>
        <w:tc>
          <w:tcPr>
            <w:tcW w:w="110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6"/>
              </w:rPr>
              <w:t>42307 OSGOOD ROAD, SUITE I</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FREMONT</w:t>
            </w:r>
          </w:p>
        </w:tc>
        <w:tc>
          <w:tcPr>
            <w:tcW w:w="1220" w:type="dxa"/>
            <w:vAlign w:val="bottom"/>
            <w:gridSpan w:val="2"/>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spacing w:after="0"/>
              <w:rPr>
                <w:sz w:val="20"/>
                <w:szCs w:val="20"/>
                <w:color w:val="auto"/>
              </w:rPr>
            </w:pPr>
            <w:r>
              <w:rPr>
                <w:rFonts w:ascii="Arial" w:cs="Arial" w:eastAsia="Arial" w:hAnsi="Arial"/>
                <w:sz w:val="17"/>
                <w:szCs w:val="17"/>
                <w:color w:val="0000FF"/>
              </w:rPr>
              <w:t>94539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200"/>
              <w:spacing w:after="0"/>
              <w:rPr>
                <w:sz w:val="20"/>
                <w:szCs w:val="20"/>
                <w:color w:val="auto"/>
              </w:rPr>
            </w:pPr>
            <w:r>
              <w:rPr>
                <w:rFonts w:ascii="Arial" w:cs="Arial" w:eastAsia="Arial" w:hAnsi="Arial"/>
                <w:sz w:val="12"/>
                <w:szCs w:val="12"/>
                <w:b w:val="1"/>
                <w:bCs w:val="1"/>
                <w:color w:val="auto"/>
                <w:w w:val="79"/>
              </w:rPr>
              <w:t>3.</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6"/>
          </w:tcPr>
          <w:p>
            <w:pPr>
              <w:ind w:left="2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5"/>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03/18/2020</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8"/>
              </w:rPr>
              <w:t>20,000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right"/>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36,924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gridSpan w:val="4"/>
            <w:vMerge w:val="restart"/>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900" w:type="dxa"/>
            <w:vAlign w:val="bottom"/>
          </w:tcPr>
          <w:p>
            <w:pPr>
              <w:spacing w:after="0"/>
              <w:rPr>
                <w:sz w:val="16"/>
                <w:szCs w:val="16"/>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94"/>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jc w:val="right"/>
              <w:ind w:right="9"/>
              <w:spacing w:after="0"/>
              <w:rPr>
                <w:sz w:val="20"/>
                <w:szCs w:val="20"/>
                <w:color w:val="auto"/>
              </w:rPr>
            </w:pPr>
            <w:r>
              <w:rPr>
                <w:rFonts w:ascii="Arial" w:cs="Arial" w:eastAsia="Arial" w:hAnsi="Arial"/>
                <w:sz w:val="17"/>
                <w:szCs w:val="17"/>
                <w:color w:val="0000FF"/>
                <w:w w:val="84"/>
              </w:rPr>
              <w:t>20,000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w:t>
            </w:r>
          </w:p>
        </w:tc>
        <w:tc>
          <w:tcPr>
            <w:tcW w:w="140" w:type="dxa"/>
            <w:vAlign w:val="bottom"/>
          </w:tcPr>
          <w:p>
            <w:pPr>
              <w:spacing w:after="0"/>
              <w:rPr>
                <w:sz w:val="5"/>
                <w:szCs w:val="5"/>
                <w:color w:val="auto"/>
              </w:rPr>
            </w:pPr>
          </w:p>
        </w:tc>
        <w:tc>
          <w:tcPr>
            <w:tcW w:w="108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03/18/2020</w:t>
            </w:r>
          </w:p>
        </w:tc>
        <w:tc>
          <w:tcPr>
            <w:tcW w:w="110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900" w:type="dxa"/>
            <w:vAlign w:val="bottom"/>
            <w:vMerge w:val="restart"/>
          </w:tcPr>
          <w:p>
            <w:pPr>
              <w:ind w:left="420"/>
              <w:spacing w:after="0" w:line="142" w:lineRule="exact"/>
              <w:rPr>
                <w:sz w:val="20"/>
                <w:szCs w:val="20"/>
                <w:color w:val="auto"/>
              </w:rPr>
            </w:pPr>
            <w:r>
              <w:rPr>
                <w:rFonts w:ascii="Arial" w:cs="Arial" w:eastAsia="Arial" w:hAnsi="Arial"/>
                <w:sz w:val="13"/>
                <w:szCs w:val="13"/>
                <w:color w:val="0000FF"/>
              </w:rPr>
              <w:t>20,000</w:t>
            </w:r>
          </w:p>
        </w:tc>
        <w:tc>
          <w:tcPr>
            <w:tcW w:w="760" w:type="dxa"/>
            <w:vAlign w:val="bottom"/>
            <w:gridSpan w:val="3"/>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12/27/2026</w:t>
            </w: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30,000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center"/>
              <w:ind w:right="94"/>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-3053080</wp:posOffset>
            </wp:positionV>
            <wp:extent cx="7033895" cy="3094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094990"/>
                    </a:xfrm>
                    <a:prstGeom prst="rect">
                      <a:avLst/>
                    </a:prstGeom>
                    <a:noFill/>
                  </pic:spPr>
                </pic:pic>
              </a:graphicData>
            </a:graphic>
          </wp:anchor>
        </w:drawing>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18, 2020, the reporting person exercised previously issued stock options to purchase 20,000 shares of Class A Common Stock of the Issuer.</w:t>
      </w:r>
    </w:p>
    <w:p>
      <w:pPr>
        <w:spacing w:after="0" w:line="43" w:lineRule="exact"/>
        <w:rPr>
          <w:rFonts w:ascii="Arial" w:cs="Arial" w:eastAsia="Arial" w:hAnsi="Arial"/>
          <w:sz w:val="13"/>
          <w:szCs w:val="13"/>
          <w:color w:val="008000"/>
        </w:rPr>
      </w:pPr>
    </w:p>
    <w:p>
      <w:pPr>
        <w:ind w:left="40" w:right="5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vested and became exercisable as to 12,500 shares on September 29, 2017 and the remaining 37,500 shares vest and become exercisable in equal monthly installments over the following 36 months, subject to continued service through each vesting date.</w:t>
      </w:r>
    </w:p>
    <w:p>
      <w:pPr>
        <w:spacing w:after="0" w:line="1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Mark L. Johnson,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03/20/2020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in-Fact for Tracy Liu</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1299"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2020-03-20T15:32:25Z</dcterms:created>
  <dcterms:modified xsi:type="dcterms:W3CDTF">2020-03-20T15:32:25Z</dcterms:modified>
</cp:coreProperties>
</file>