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20, 2023</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522"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800" w:space="720"/>
            <w:col w:w="3060"/>
          </w:cols>
          <w:pgMar w:left="320" w:top="522" w:right="339" w:bottom="1440" w:gutter="0" w:footer="0" w:header="0"/>
          <w:type w:val="continuous"/>
        </w:sectPr>
      </w:pPr>
    </w:p>
    <w:p>
      <w:pPr>
        <w:spacing w:after="0" w:line="30"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22"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420" w:type="dxa"/>
            <w:vAlign w:val="bottom"/>
            <w:gridSpan w:val="2"/>
          </w:tcPr>
          <w:p>
            <w:pPr>
              <w:ind w:left="1940"/>
              <w:spacing w:after="0"/>
              <w:rPr>
                <w:sz w:val="20"/>
                <w:szCs w:val="20"/>
                <w:color w:val="auto"/>
              </w:rPr>
            </w:pPr>
            <w:r>
              <w:rPr>
                <w:rFonts w:ascii="Arial" w:cs="Arial" w:eastAsia="Arial" w:hAnsi="Arial"/>
                <w:sz w:val="18"/>
                <w:szCs w:val="18"/>
                <w:b w:val="1"/>
                <w:bCs w:val="1"/>
                <w:color w:val="auto"/>
              </w:rPr>
              <w:t>Title of each class</w:t>
            </w: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w:t>
            </w:r>
          </w:p>
        </w:tc>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5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$0.0001 per share</w:t>
            </w:r>
          </w:p>
        </w:tc>
        <w:tc>
          <w:tcPr>
            <w:tcW w:w="220" w:type="dxa"/>
            <w:vAlign w:val="bottom"/>
          </w:tcPr>
          <w:p>
            <w:pPr>
              <w:spacing w:after="0"/>
              <w:rPr>
                <w:sz w:val="20"/>
                <w:szCs w:val="20"/>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ACMR</w:t>
            </w:r>
          </w:p>
        </w:tc>
        <w:tc>
          <w:tcPr>
            <w:tcW w:w="220" w:type="dxa"/>
            <w:vAlign w:val="bottom"/>
          </w:tcPr>
          <w:p>
            <w:pPr>
              <w:spacing w:after="0"/>
              <w:rPr>
                <w:sz w:val="20"/>
                <w:szCs w:val="20"/>
                <w:color w:val="auto"/>
              </w:rPr>
            </w:pPr>
          </w:p>
        </w:tc>
        <w:tc>
          <w:tcPr>
            <w:tcW w:w="4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or Rule 12b-2 of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Securities Exchange Act of 1934:</w:t>
      </w:r>
    </w:p>
    <w:p>
      <w:pPr>
        <w:spacing w:after="0" w:line="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4.01</w:t>
      </w:r>
      <w:r>
        <w:rPr>
          <w:sz w:val="20"/>
          <w:szCs w:val="20"/>
          <w:color w:val="auto"/>
        </w:rPr>
        <w:tab/>
      </w:r>
      <w:r>
        <w:rPr>
          <w:rFonts w:ascii="Arial" w:cs="Arial" w:eastAsia="Arial" w:hAnsi="Arial"/>
          <w:sz w:val="16"/>
          <w:szCs w:val="16"/>
          <w:b w:val="1"/>
          <w:bCs w:val="1"/>
          <w:color w:val="auto"/>
        </w:rPr>
        <w:t>Changes in Registrant’s Certifying Accountant.</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September 14, 2023, the Audit Committee of the Board of Directors (the “Audit Committee”) of ACM Research, Inc. (the “Company”) completed a competitive selection process to select and appoint a new accounting firm to serve as the Company’s independent registered public accounting firm commencing with the audit of the Company’s financial statements for the fiscal year ending December 31, 2023. As a result of this process, the Audit Committee approved the engagement of Ernst &amp; Young Hua Ming LLP (“E&amp;Y”) as the Company’s independent registered public accounting firm for the fiscal year ending December 31, 2023. The engagement of E&amp;Y became effective on September 20, 2023.</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During the fiscal years ended December 31, 2022 and 2021 and the subsequent interim period from January 1, 2023 through September 20, 2023, neither the Company nor anyone on its behalf consulted with E&amp;Y regarding either: (a) the application of accounting principles to a specified transaction, either completed or proposed, or the type of audit opinion that might be rendered on the Company’s financial statements, and no written report or oral advice was provided to the Company that E&amp;Y concluded was an important factor considered by the Company in reaching a decision as to any accounting, auditing or financial reporting issue; or (b) any matter that was either the subject of a “disagreement” or a “reportable event”, as such terms are defined in Items 304(a)</w:t>
      </w:r>
    </w:p>
    <w:p>
      <w:pPr>
        <w:spacing w:after="0" w:line="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(1)(iv) and (v), respectively, of Regulation S</w:t>
      </w:r>
      <w:r>
        <w:rPr>
          <w:rFonts w:ascii="MS PGothic" w:cs="MS PGothic" w:eastAsia="MS PGothic" w:hAnsi="MS PGothic"/>
          <w:sz w:val="18"/>
          <w:szCs w:val="18"/>
          <w:color w:val="auto"/>
        </w:rPr>
        <w:t>‑</w:t>
      </w:r>
      <w:r>
        <w:rPr>
          <w:rFonts w:ascii="Arial" w:cs="Arial" w:eastAsia="Arial" w:hAnsi="Arial"/>
          <w:sz w:val="18"/>
          <w:szCs w:val="18"/>
          <w:color w:val="auto"/>
        </w:rPr>
        <w:t>K and the related instructions.</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previously disclosed in the Company’s Current Report on Form 8-K filed on July 27, 2023, Armanino LLP (“Armanino”) informed the Company that they would resign as the Company’s independent registered public accounting firm effective as of the earlier of (a) the date the Company engages a new independent registered public accounting firm or (b) the filing of the Company’s Quarterly Report on Form 10-Q for the fiscal quarter ended September 30, 2023, as a result of Armanino’s decision to exit from the practice of providing financial statement audit services to all public companies. As a result, Armanino ceased to serve as the Company’s independent registered public accounting firm effective as of September 20, 2023.</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accordance with Item 304(a)(3) of Regulation S-K, the Company provided Armanino with a copy of the disclosures it is making in this Current Report on Form 8-K and requested from Armanino a letter addressed to the Securities and Exchange Commission indicating whether it agrees with such disclosures. A copy of Armanino’s letter dated September 26, 2023 is attached as Exhibit 16.1 hereto.</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p>
      <w:pPr>
        <w:ind w:left="140"/>
        <w:spacing w:after="0"/>
        <w:tabs>
          <w:tab w:leader="none" w:pos="57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280"/>
        <w:spacing w:after="0"/>
        <w:tabs>
          <w:tab w:leader="none" w:pos="1060" w:val="left"/>
        </w:tabs>
        <w:rPr>
          <w:sz w:val="20"/>
          <w:szCs w:val="20"/>
          <w:color w:val="auto"/>
        </w:rPr>
      </w:pPr>
      <w:r>
        <w:rPr>
          <w:rFonts w:ascii="Arial" w:cs="Arial" w:eastAsia="Arial" w:hAnsi="Arial"/>
          <w:sz w:val="18"/>
          <w:szCs w:val="18"/>
          <w:u w:val="single" w:color="auto"/>
          <w:color w:val="0000EE"/>
        </w:rPr>
        <w:t>16.1</w:t>
      </w:r>
      <w:r>
        <w:rPr>
          <w:sz w:val="20"/>
          <w:szCs w:val="20"/>
          <w:color w:val="auto"/>
        </w:rPr>
        <w:tab/>
      </w:r>
      <w:r>
        <w:rPr>
          <w:rFonts w:ascii="Arial" w:cs="Arial" w:eastAsia="Arial" w:hAnsi="Arial"/>
          <w:sz w:val="16"/>
          <w:szCs w:val="16"/>
          <w:color w:val="auto"/>
        </w:rPr>
        <w:t>Letter from Armanino LLP dated September 26, 2023</w:t>
      </w:r>
    </w:p>
    <w:p>
      <w:pPr>
        <w:spacing w:after="0" w:line="23" w:lineRule="exact"/>
        <w:rPr>
          <w:sz w:val="20"/>
          <w:szCs w:val="20"/>
          <w:color w:val="auto"/>
        </w:rPr>
      </w:pPr>
    </w:p>
    <w:p>
      <w:pPr>
        <w:ind w:left="300"/>
        <w:spacing w:after="0"/>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16.1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Armanino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2700 Camino Ramon, Suite 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Ramon, CA 94583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925 790 2600 main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925 790 2601 fax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Armanino.com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read Item 4.01 of the Current Report on Form 8-K of ACM Research, Inc. dated September 26, 2023, and agree with the statements concerning our firm contained therein. We have no basis to agree or disagree with other statements of the registrant contained therein.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Armanino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Ramon,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2023-09-26T15:49:25Z</dcterms:created>
  <dcterms:modified xsi:type="dcterms:W3CDTF">2023-09-26T15:49:25Z</dcterms:modified>
</cp:coreProperties>
</file>