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12,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 McKechnie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Officer, Executive Vice President and Treasurer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ACM Research,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42307 Osgood Road, Suite I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Fremont , California 94539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ACM Research,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Quarter Ended March 31, 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001-38273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McKechnie: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filings and have the following comments. In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 understand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36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Item 1A. Risk Factors, page</w:t>
            </w:r>
          </w:p>
        </w:tc>
        <w:tc>
          <w:tcPr>
            <w:tcW w:w="3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19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4680" w:type="dxa"/>
            <w:vAlign w:val="bottom"/>
            <w:gridSpan w:val="2"/>
          </w:tcPr>
          <w:p>
            <w:pPr>
              <w:ind w:left="2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Revise your risk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9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factors to acknowledge that if the PRC government determines that</w:t>
            </w:r>
          </w:p>
        </w:tc>
        <w:tc>
          <w:tcPr>
            <w:tcW w:w="13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ind w:left="2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structure</w:t>
            </w:r>
          </w:p>
        </w:tc>
        <w:tc>
          <w:tcPr>
            <w:tcW w:w="13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does not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9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comply with PRC regulations, or if these regulations change or are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80" w:type="dxa"/>
            <w:vAlign w:val="bottom"/>
            <w:gridSpan w:val="2"/>
          </w:tcPr>
          <w:p>
            <w:pPr>
              <w:ind w:left="2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interpreted differently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9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the future, your securities may decline in value or become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if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ind w:left="2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worthless</w:t>
            </w: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determinations, changes, or interpretations result in your inability to assert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940" w:type="dxa"/>
            <w:vAlign w:val="bottom"/>
          </w:tcPr>
          <w:p>
            <w:pPr>
              <w:ind w:left="45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control over the assets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your PRC subsidiaries that conduct all or substantially all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40" w:type="dxa"/>
            <w:vAlign w:val="bottom"/>
          </w:tcPr>
          <w:p>
            <w:pPr>
              <w:ind w:left="4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operations.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40" w:type="dxa"/>
            <w:vAlign w:val="bottom"/>
          </w:tcPr>
          <w:p>
            <w:pPr>
              <w:ind w:left="4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Given the Chinese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government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significant oversight and discretion over the conduct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40" w:type="dxa"/>
            <w:vAlign w:val="bottom"/>
          </w:tcPr>
          <w:p>
            <w:pPr>
              <w:ind w:left="4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business, please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revise to highlight separately the risk that the Chinese government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40" w:type="dxa"/>
            <w:vAlign w:val="bottom"/>
          </w:tcPr>
          <w:p>
            <w:pPr>
              <w:ind w:left="4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intervene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influence your operations at any time, which could result in a material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40" w:type="dxa"/>
            <w:vAlign w:val="bottom"/>
          </w:tcPr>
          <w:p>
            <w:pPr>
              <w:ind w:left="4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change in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operations and/or the value of your securities. Also, given recent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40" w:type="dxa"/>
            <w:vAlign w:val="bottom"/>
          </w:tcPr>
          <w:p>
            <w:pPr>
              <w:ind w:left="4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statements 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Chinese government indicating an intent to exert more oversight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40" w:type="dxa"/>
            <w:vAlign w:val="bottom"/>
          </w:tcPr>
          <w:p>
            <w:pPr>
              <w:ind w:left="4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control over offerings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are conducted overseas and/or foreign investment in China-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Mark McKechnie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720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LastNameMark McKechnie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3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ACM Research,</w:t>
            </w:r>
          </w:p>
        </w:tc>
        <w:tc>
          <w:tcPr>
            <w:tcW w:w="694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72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NameACM Research,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July</w:t>
            </w:r>
          </w:p>
        </w:tc>
        <w:tc>
          <w:tcPr>
            <w:tcW w:w="7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12,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  <w:tab/>
        <w:t>2 2022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6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based issuers, acknowledge the risk that any such action could significantly limit 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8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completely hinder your ability to offer or continue to offer securities to investors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339" w:firstLine="948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cause the value of such securities to significantly decline or be worthless.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75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light of recent events indicating greater oversight by the Cyberspace Administration of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China (CAC) over data security, particularly for companies seeking to list on a foreign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exchange, please revise your disclosure to explain how this oversight impacts your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and your securities and to what extent you believe that you are compliant with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regulations or policies that have been issued by the CAC to date.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one or more of your officers or directors are located in China. Please revise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include both risk factor disclosure as well as a separate Enforceability section to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 the difficulty of bringing actions against these individuals and enforcing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judgments against them.</w:t>
      </w:r>
    </w:p>
    <w:p>
      <w:pPr>
        <w:spacing w:after="0"/>
        <w:tabs>
          <w:tab w:leader="none" w:pos="2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 Management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Discussion and Analysis of Financial Condition and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Sales and Marketing, page 60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why travel and entertainment expenses associated with the installation of</w:t>
      </w:r>
    </w:p>
    <w:p>
      <w:pPr>
        <w:ind w:right="391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tools is included in sales and marketing expenses. Research and Development, page 60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why travel expenses associated with customer support are included in</w:t>
      </w:r>
    </w:p>
    <w:p>
      <w:pPr>
        <w:ind w:right="5699" w:firstLine="948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research and development expense. How We Evaluate Our Operations, page 63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why you believe "shipments" is a useful measure for investors given that it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includes items for which you may not receive revenue. Disclose what portion of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shipments were not accepted and revenue was not recognized. Disclose what portion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relates to (a) a "repeat" delivery to a customer of a type of tool that the customer has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previously accepted, for which you recognize revenue upon delivery, and what portion</w:t>
      </w:r>
    </w:p>
    <w:p>
      <w:pPr>
        <w:ind w:left="960"/>
        <w:spacing w:after="0"/>
        <w:tabs>
          <w:tab w:leader="none" w:pos="3040" w:val="left"/>
          <w:tab w:leader="none" w:pos="4520" w:val="left"/>
          <w:tab w:leader="none" w:pos="6300" w:val="left"/>
          <w:tab w:leader="none" w:pos="7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relates to (b) 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first-time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delivery of 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first tool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to 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 on an approval basis, for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you may recognize revenue in the future if contractual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conditions are met, or if a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purchase order is received.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discuss and analyze the fluctuation in Adjusted EBITDA, Free Cash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Flow, and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Adjusted Operating Income before discussing the fluctuation of Net Income, Cash Flow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Operations, and Income from Operations, the most directly comparable GAAP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measures. Please revise to give greater or equal prominence to the GAAP measures.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Item 10(e)(1)(i)(A) of Regulation S-K and Question 102.10 of the Division of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 C&amp;DIs on Non-GAAP Financial Measures. Apply this comment to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Form 10-Q for the fiscal quarter ended March 31, 2022, accordingly.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 McKechnie</w:t>
      </w:r>
    </w:p>
    <w:p>
      <w:pPr>
        <w:ind w:right="6659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LastNameMark McKechnie ACM Research, Inc.</w:t>
      </w: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NameACM Research, Inc.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12,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  <w:tab/>
        <w:t>3 2022 Page 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97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calculation of free cash flow differs from the typical calculation of this measure (i.e.,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cash flows from operations less capital expenditures). In order to avoid potential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confusion, please revise the title of your non-GAAP measure to adjusted free cash flow or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something similar. Refer to Question 102.07 of the Non-GAAP Compliance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Interpretations. Apply this comment to your Form 10-Q for the fiscal quarter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ended March 31, 2022, accordingly.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Critical Accounting Policies and Estimates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Recognition , page 67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state, "All of our products were sold in stand-alone arrangements, we do not have</w:t>
      </w:r>
    </w:p>
    <w:p>
      <w:pPr>
        <w:ind w:left="960" w:right="243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observable SSPs for most performance obligations as they are not regularly sold on a standalone basis. Production, delivery and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installation of a product,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together with provision of a warranty, are a single unit of accounting." Aspects of your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appear contradictory, please clarify. Disclose each specific performance</w:t>
      </w:r>
    </w:p>
    <w:p>
      <w:pPr>
        <w:ind w:right="369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obligation and how transaction price was determined. Results of Operations, page 71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results of operations discussion and analysis to describe the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underlying reasons for material changes in quantitative and qualitative terms. For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example, you disclose the increase and decrease in revenue for product types, but do not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the underlying reasons for the change. This disclosure should be expanded for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line item that materially changed from period-to-period. We refer to guidance in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303 of Regulation S-K. As applicable, also apply this comment to your Form 10-Q</w:t>
      </w:r>
    </w:p>
    <w:p>
      <w:pPr>
        <w:ind w:right="455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fiscal quarter ended March 31, 2022. Liquidity and Capital Resources, page 76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this statement, "We do not expect that our anticipated cash needs for the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next twelve months will require our receipt of any PRC government subsidies."</w:t>
      </w:r>
    </w:p>
    <w:p>
      <w:pPr>
        <w:ind w:right="31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Specifically, disclose the relationship between you, your subsidiaries, and the PRC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government. Disclose how it is decided if you or your subsidiaries should receive PRC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government subsidies.</w:t>
      </w: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Expand your liquidity discussion to analyze your ability to generate and obtain adequate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amounts of cash to meet your requirements and your plans for cash in the long-term (i.e.,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beyond the next 12 months). We refer to guidance in Item 303(b)(1) of Regulation S-K.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 McKechnie</w:t>
      </w:r>
    </w:p>
    <w:p>
      <w:pPr>
        <w:ind w:right="66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LastNameMark McKechnie ACM Research, Inc.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NameACM Research, Inc.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12,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  <w:tab/>
        <w:t>4 2022 Page 4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859" w:firstLine="8"/>
        <w:spacing w:after="0" w:line="257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regard to the Shengwei's Grant Contract for State-owned Construction Land Use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 in Shanghai City of the "Grant Agreement," disclose if the milestones noted on page</w:t>
      </w:r>
    </w:p>
    <w:p>
      <w:pPr>
        <w:ind w:left="1380" w:right="1819" w:hanging="421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76 have been achieved and whether penalties were charged. In addition: disclose if you were in compliance with the Grant Agreement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covenants;</w:t>
      </w:r>
    </w:p>
    <w:p>
      <w:pPr>
        <w:ind w:right="21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potential liquidating damages associated with breaking the covenants; and</w:t>
      </w:r>
    </w:p>
    <w:p>
      <w:pPr>
        <w:ind w:right="297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true, disclose the specific covenants broken and the liquidating damages paid or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payable.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applicable, also apply this comment to your Form 10-Q for the fiscal quarter ended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31, 2022.</w:t>
      </w:r>
    </w:p>
    <w:p>
      <w:pPr>
        <w:ind w:right="2659" w:firstLine="8"/>
        <w:spacing w:after="0" w:line="238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liquidity discussion to explain and analyze material changes from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period-to-period in one or more line items. The analysis should describe the underlying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reasons for these material changes in quantitative and qualitative terms. We refer to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guidance in Item 303 of Regulation S-K. As applicable, also apply this comment to your</w:t>
      </w:r>
    </w:p>
    <w:p>
      <w:pPr>
        <w:ind w:right="349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 fiscal quarter ended March 31, 2022. Notes to Consolidated Financial Statements</w:t>
      </w:r>
    </w:p>
    <w:p>
      <w:pPr>
        <w:ind w:right="475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2 - Summary of Significant Accounting Policies Cash and Cash Equivalents, page 91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3" w:name="page4"/>
    <w:bookmarkEnd w:id="3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jurisdiction that holds your cash and cash equivalents and address the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following.</w:t>
      </w:r>
    </w:p>
    <w:p>
      <w:pPr>
        <w:ind w:right="243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what extent financial institutions in those jurisdictions insure your cash and cash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equivalents.</w:t>
      </w:r>
    </w:p>
    <w:p>
      <w:pPr>
        <w:ind w:right="22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any restrictions associated with the transfer of cash outside its current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jurisdiction.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cash is transferred through your organization.</w:t>
      </w:r>
    </w:p>
    <w:p>
      <w:pPr>
        <w:ind w:right="21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Intentions to distribute earnings or settle amounts owed to the parent holding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located in the United States.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 whether any transfers, dividends, or distributions have been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made to date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between the holding company and its subsidiaries or to investors, and quantify the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amounts where applicable.</w:t>
      </w: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Apply this comment to your Form 10-Q for the fiscal quarter ended March 31, 2022,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accordingly.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Accounts Receivable , page 92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accounts receivable balance increased from $54.4 million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$105.6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million from December 31, 2020 to December 31, 2021 and further increased to $106.4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million at March 31, 2022, while your allowance for doubtful accounts remained at zero.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how you determined an allowance for doubtful accounts was not necessary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periods presented, including significant assumptions and factors considered.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us with your detailed analysis. Apply this comment accordingly to your Form 10-</w:t>
      </w:r>
    </w:p>
    <w:p>
      <w:pPr>
        <w:ind w:left="120" w:right="4339" w:firstLine="842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 for the fiscal quarter ended March 31, 2022. Mark McKechnie</w:t>
      </w:r>
    </w:p>
    <w:p>
      <w:pPr>
        <w:ind w:right="6659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LastNameMark McKechnie ACM Research, Inc.</w:t>
      </w: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48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July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12,</w:t>
            </w:r>
          </w:p>
        </w:tc>
        <w:tc>
          <w:tcPr>
            <w:tcW w:w="4220" w:type="dxa"/>
            <w:vAlign w:val="bottom"/>
          </w:tcPr>
          <w:p>
            <w:pPr>
              <w:ind w:left="2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NameACM Research, Inc.</w:t>
            </w: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</w:t>
            </w: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July 12,</w:t>
            </w:r>
          </w:p>
        </w:tc>
        <w:tc>
          <w:tcPr>
            <w:tcW w:w="4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</w:t>
            </w:r>
          </w:p>
        </w:tc>
        <w:tc>
          <w:tcPr>
            <w:tcW w:w="464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 2022 Page 5</w:t>
            </w: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Property, Plant and Equipment, Net, page 92</w:t>
            </w: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18.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We note your statement that, "ACM   s subsidiaries follow regulations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 depreciation of</w:t>
            </w:r>
          </w:p>
        </w:tc>
        <w:tc>
          <w:tcPr>
            <w:tcW w:w="31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 Enterprise Income Tax Law,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fixed assets implemented under the PRC</w:t>
            </w:r>
          </w:p>
        </w:tc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which state that</w:t>
            </w: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2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the minimum useful lives used for calculating depreciation for fixed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assets are as</w:t>
            </w: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2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follows." Please clarify for us how the useful lives of your assets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are determined and</w:t>
            </w: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2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why you believe it is appropriate to follow PRC's Enterprise Income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Tax Law. Refer to</w:t>
            </w: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basis in accounting literature.</w:t>
            </w: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Intangible Assets, Net, page 93</w:t>
            </w: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the amortization of intangible assets you state, "If the contract does not specify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beneficial period, then the intangible asset is amortized over a term not exceeding the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valid period specified by local law. If neither the contract nor local law specifies a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 period, then the intangible asset is amortized over a period of up to 10 years."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this statement and tell why you believe this policy is in accordance US</w:t>
      </w:r>
    </w:p>
    <w:p>
      <w:pPr>
        <w:ind w:right="339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GAAP. Refer to your basis in the accounting literature. Revenue Recognition, page 94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revenue recognition disclosure to include: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75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contract asset and the contract liability balances in accordance with ASC 650-10-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50-10;</w:t>
      </w:r>
    </w:p>
    <w:p>
      <w:pPr>
        <w:ind w:right="2559" w:firstLine="136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about your remaining performance obligations in accordance with ASC</w:t>
      </w:r>
    </w:p>
    <w:p>
      <w:pPr>
        <w:sectPr>
          <w:pgSz w:w="11900" w:h="16865" w:orient="portrait"/>
          <w:cols w:equalWidth="0" w:num="1">
            <w:col w:w="10139"/>
          </w:cols>
          <w:pgMar w:left="320" w:top="312" w:right="1440" w:bottom="0" w:gutter="0" w:footer="0" w:header="0"/>
        </w:sectPr>
      </w:pPr>
    </w:p>
    <w:bookmarkStart w:id="4" w:name="page5"/>
    <w:bookmarkEnd w:id="4"/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650-10-50-13; and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information regarding your long-term contracts in accordance with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5-02(3)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5-02(6) of Regulation S-X.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Statutory Reserves, page 99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disclosure here and in Note 24. Please disclose restricted paid-in capital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statutory reserves funds as separate line items in your Consolidated Balance Sheets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5220" w:type="dxa"/>
            <w:vAlign w:val="bottom"/>
            <w:gridSpan w:val="2"/>
          </w:tcPr>
          <w:p>
            <w:pPr>
              <w:ind w:left="9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and Consolidated Statement of Changes in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Stockholders</w:t>
            </w: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Equity. We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refer you to Rule</w:t>
            </w:r>
          </w:p>
        </w:tc>
        <w:tc>
          <w:tcPr>
            <w:tcW w:w="3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5-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220" w:type="dxa"/>
            <w:vAlign w:val="bottom"/>
            <w:gridSpan w:val="2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02.30(a)(2) and (3) of Regulation S-X.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102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Recent Accounting</w:t>
            </w:r>
          </w:p>
        </w:tc>
        <w:tc>
          <w:tcPr>
            <w:tcW w:w="3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Pronouncements Not Yet Adopted,</w:t>
            </w: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2759" w:firstLine="8"/>
        <w:spacing w:after="0" w:line="257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on "October 2019, the FASB issued ASU 2019-10, Financial Instruments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Credit Losses (Topic 326), Derivatives and Hedging (Topic 815) and Leases (Topic 842),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defers the effective date for public filers that are considered small reporting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companies (</w:t>
            </w:r>
          </w:p>
        </w:tc>
        <w:tc>
          <w:tcPr>
            <w:tcW w:w="6000" w:type="dxa"/>
            <w:vAlign w:val="bottom"/>
          </w:tcPr>
          <w:p>
            <w:pPr>
              <w:jc w:val="right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SRC   ) as defined by the U.S. Securities and Exchange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4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Commission (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</w:t>
            </w:r>
          </w:p>
        </w:tc>
        <w:tc>
          <w:tcPr>
            <w:tcW w:w="6000" w:type="dxa"/>
            <w:vAlign w:val="bottom"/>
          </w:tcPr>
          <w:p>
            <w:pPr>
              <w:jc w:val="right"/>
              <w:ind w:right="57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to fiscal years beginning after December 15, 2022, including interim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periods within those</w:t>
            </w:r>
          </w:p>
        </w:tc>
        <w:tc>
          <w:tcPr>
            <w:tcW w:w="6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fiscal years." In this regard, please tell us why you believe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Derivatives and Hedging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(Topic 815)</w:t>
            </w:r>
          </w:p>
        </w:tc>
        <w:tc>
          <w:tcPr>
            <w:tcW w:w="6000" w:type="dxa"/>
            <w:vAlign w:val="bottom"/>
          </w:tcPr>
          <w:p>
            <w:pPr>
              <w:jc w:val="right"/>
              <w:ind w:right="1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and Leases (Topic 842) is deferred for small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4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companies (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SRC</w:t>
            </w:r>
          </w:p>
        </w:tc>
        <w:tc>
          <w:tcPr>
            <w:tcW w:w="6000" w:type="dxa"/>
            <w:vAlign w:val="bottom"/>
          </w:tcPr>
          <w:p>
            <w:pPr>
              <w:jc w:val="right"/>
              <w:ind w:right="57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83"/>
              </w:rPr>
              <w:t>).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Refer to specific guidance in ASU 2019-10.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3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Mark McKechnie</w:t>
            </w:r>
          </w:p>
        </w:tc>
        <w:tc>
          <w:tcPr>
            <w:tcW w:w="6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FirstName</w:t>
            </w:r>
          </w:p>
        </w:tc>
        <w:tc>
          <w:tcPr>
            <w:tcW w:w="7160" w:type="dxa"/>
            <w:vAlign w:val="bottom"/>
            <w:gridSpan w:val="3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LastNameMark McKechnie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4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ACM Research,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Inc.</w:t>
            </w:r>
          </w:p>
        </w:tc>
        <w:tc>
          <w:tcPr>
            <w:tcW w:w="6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716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NameACM Research,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July</w:t>
            </w:r>
          </w:p>
        </w:tc>
        <w:tc>
          <w:tcPr>
            <w:tcW w:w="7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ind w:left="5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12,</w:t>
            </w:r>
          </w:p>
        </w:tc>
        <w:tc>
          <w:tcPr>
            <w:tcW w:w="4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July 12,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  <w:tab/>
        <w:t>6 2022 Page 6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5 - Inventories, page 104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inventory increased from $88.6 million to $218.1 million from December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31, 2020 to December 31, 2021. It further increased to $271.5 million at March 31, 2022.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also note a decrease in revenue from March 31, 2021 to March 31, 2022. Please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enhance your disclosure to explain the significant increase in the inventory balances.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should include specific judgements and assumptions made, and factors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considered in determining whether inventory is at risk of impairment. Disclose whether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portion of the inventory is at risk of impairment. Provide us with your impairment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analysis. Apply this comment to your Form 10-Q for the fiscal quarter ended March 31,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2022, accordingly.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12 - Long-Term Borrowings, page 108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you have a loan from China Merchants Banks and its purpose is for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purchasing property in Lingang, Shanghai. The loan is pledged by the property of ACM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Shengwei and guaranteed by ACM Shanghai. As of December 31, 2021 and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31,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2022, the right certificate of the pledged property has not been obtained and the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procedures of the formal pledge registration in the bank had not been completed. Please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this prominently in the the Liquidity section of your MD&amp;A. Disclose the timing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when you believe you will be able to obtain the right certificate of the pledged property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 risks associated with not obtaining the certificate. Include a discussion regarding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inability to obtain these certificates in your Risk Factors. As applicable, please also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apply this comment to your Form 10-Q for the fiscal quarter ended March 31, 2022.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17 - Related Party Balances and Transactions, page 112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5" w:name="page6"/>
    <w:bookmarkEnd w:id="5"/>
    <w:p>
      <w:pPr>
        <w:ind w:right="2559" w:firstLine="8"/>
        <w:spacing w:after="0" w:line="257" w:lineRule="auto"/>
        <w:tabs>
          <w:tab w:leader="none" w:pos="948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Enhance your related party footnote to disclose all information required by ASC 850-10-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50, including: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nature of the related party relationship(s),</w:t>
      </w: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 description of the transactions, including transactions to which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 amounts or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nominal amounts were ascribed,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deemed necessary to understand the effects of the transactions on the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statements.</w:t>
      </w: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Also, state separately amounts of related party transactions on the face of the balance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sheet, income statement and cash flow statement. Refer to guidance in Item 4-08(k)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S-X. As applicably, apply this comment to your Form 10-Q for the fiscal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quarter ended March 31, 2022.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21 - Income Taxes, page 118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57" w:lineRule="auto"/>
        <w:tabs>
          <w:tab w:leader="none" w:pos="948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why there was a significant increase in unrecognized tax benefits related to the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year. Disclose substantive information regarding the unrecognized tax position in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critical accounting policies and estimates. Your disclosure should discuss specific</w:t>
      </w:r>
    </w:p>
    <w:p>
      <w:pPr>
        <w:ind w:left="120" w:right="349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judgments made and assumptions and factors considered. Mark McKechnie</w:t>
      </w:r>
    </w:p>
    <w:p>
      <w:pPr>
        <w:ind w:right="66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LastNameMark McKechnie ACM Research, Inc.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86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July</w:t>
            </w:r>
          </w:p>
        </w:tc>
        <w:tc>
          <w:tcPr>
            <w:tcW w:w="3260" w:type="dxa"/>
            <w:vAlign w:val="bottom"/>
          </w:tcPr>
          <w:p>
            <w:pPr>
              <w:ind w:left="30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NameACM Research,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120" w:type="dxa"/>
            <w:vAlign w:val="bottom"/>
            <w:gridSpan w:val="2"/>
          </w:tcPr>
          <w:p>
            <w:pPr>
              <w:ind w:left="5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12, 2022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July 12,</w:t>
            </w:r>
          </w:p>
        </w:tc>
        <w:tc>
          <w:tcPr>
            <w:tcW w:w="3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 Page 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 7</w:t>
            </w:r>
          </w:p>
        </w:tc>
        <w:tc>
          <w:tcPr>
            <w:tcW w:w="3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Note 22</w:t>
            </w: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- Segment Information, page 120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entity-wide information required by ASC 280-10-50-38 to 42.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the forefront of your filing, prominently disclose that you are not a Chinese operating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company but a United States holding company with operations conducted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your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subsidiaries in China and that this structure involves unique risks to investors. Explain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this structure is used to provide investors with exposure to foreign investment in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China-based companies where Chinese law prohibits direct foreign investment in the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companies, and disclose that investors may never hold equity interests in the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Chinese operating company. Your disclosure should acknowledge that Chinese regulatory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authorities could disallow this structure, which would likely result in a material change in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operations and/or a material change in the value of the securities, including that it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could cause the value of such securities to significantly decline or become worthless.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 cross-reference to your detailed discussion of risks facing the company and its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as a result of this structure.</w:t>
      </w:r>
    </w:p>
    <w:p>
      <w:pPr>
        <w:ind w:right="1919" w:firstLine="8"/>
        <w:spacing w:after="0" w:line="238" w:lineRule="auto"/>
        <w:tabs>
          <w:tab w:leader="none" w:pos="948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the forefront of your filing, prominently provide disclosure about the legal and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operational risks associated with having the majority of the company s operations in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China. Your disclosure should make clear whether these risks could result in a material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 in your operations and/or the value of the securities or could significantly limit or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completely hinder your ability to offer or continue to offer securities to investors and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cause the value of such securities to significantly decline or be worthless. Your disclosure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should address how recent statements and regulatory actions by China s government, such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those related to data security or anti-monopoly concerns, have or may impact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/>
        <w:spacing w:after="0"/>
        <w:tabs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</w:t>
        <w:tab/>
        <w:t>s ability to conduct its business, accept foreign</w:t>
      </w:r>
    </w:p>
    <w:p>
      <w:pPr>
        <w:sectPr>
          <w:pgSz w:w="11900" w:h="16838" w:orient="portrait"/>
          <w:cols w:equalWidth="0" w:num="1">
            <w:col w:w="10139"/>
          </w:cols>
          <w:pgMar w:left="320" w:top="312" w:right="1440" w:bottom="0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investments, or list on a U.S. or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foreign exchange. Please disclose that your auditor is subject to the determinations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announced by the PCAOB on December 16, 2021. Provide a discussion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rules</w:t>
      </w:r>
    </w:p>
    <w:p>
      <w:pPr>
        <w:ind w:right="28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adopted by the SEC relating to the Holding Foreign Companies Accountable Act and how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related regulations will affect your company. Your disclosure should state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prominently that you have been added to the list of issuers identified under the HFCAA.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all the risks and consequences of being added to the list including that the value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your securities may significantly decline or become worthless, and that your securities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eventually be delisted. Your other disclosure should address, but not necessarily be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limited to, the risks highlighted is this disclosure.</w:t>
      </w: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the forefront of your filing, clearly disclose how you will refer to the holding company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subsidiaries when providing the disclosure throughout the document so that it is clear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investors which entity the disclosure is referencing and which subsidiaries or entities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are conducting the business operations. Refrain from using terms such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20" w:val="left"/>
          <w:tab w:leader="none" w:pos="1260" w:val="left"/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or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our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60" w:type="dxa"/>
            <w:vAlign w:val="bottom"/>
            <w:gridSpan w:val="2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when describing activities or functions of a subsidiary. For example,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disclose, if true, that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subsidiaries conduct operations in China and that the holding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7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company does not</w:t>
            </w:r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70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Mark McKechnie</w:t>
            </w:r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FirstName</w:t>
            </w:r>
          </w:p>
        </w:tc>
        <w:tc>
          <w:tcPr>
            <w:tcW w:w="7260" w:type="dxa"/>
            <w:vAlign w:val="bottom"/>
            <w:gridSpan w:val="2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LastNameMark McKechnie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7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ACM Research,</w:t>
            </w:r>
          </w:p>
        </w:tc>
        <w:tc>
          <w:tcPr>
            <w:tcW w:w="65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72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NameACM Research,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July</w:t>
            </w:r>
          </w:p>
        </w:tc>
        <w:tc>
          <w:tcPr>
            <w:tcW w:w="7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12,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  <w:tab/>
        <w:t>8 2022 Page 8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6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conduct operations. Disclose clearly the entity (including the domicile) in which investors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 an interest.</w:t>
      </w:r>
    </w:p>
    <w:p>
      <w:pPr>
        <w:ind w:right="2859" w:firstLine="8"/>
        <w:spacing w:after="0" w:line="238" w:lineRule="auto"/>
        <w:tabs>
          <w:tab w:leader="none" w:pos="948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the forefront of your filing prominently disclose a clear description of how cash is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transferred through your organization. Disclose your intentions to distribute earnings or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settle amounts owed between you and your subsidiaries. Quantify any cash flows and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transfers of other assets by type that have occurred between the holding company and its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subsidiaries, and direction of transfer. Quantify any dividends or distributions that a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subsidiary have made to the holding company and which entity made such transfer, and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their tax consequences. Similarly quantify dividends or distributions made to U.S.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investors, the source, and their tax consequences. Your disclosure should make clear if no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transfers, dividends, or distributions have been made to date. Describe any restrictions on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foreign exchange and your ability to transfer cash between entities, across borders, and to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U.S. investors. Describe any restrictions and limitations on your ability to distribute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earnings from the company, including your subsidiaries to the parent company and U.S.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investors. Also, prominently disclose this information in the liquidity section of your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MD&amp;A.</w:t>
      </w:r>
    </w:p>
    <w:p>
      <w:pPr>
        <w:ind w:right="2239" w:firstLine="8"/>
        <w:spacing w:after="0" w:line="238" w:lineRule="auto"/>
        <w:tabs>
          <w:tab w:leader="none" w:pos="948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the forefront of your filing, disclose clearly that the company uses a structure that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involves subsidiaries based in China and what that entails, and disclose prominently a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60" w:type="dxa"/>
            <w:vAlign w:val="bottom"/>
          </w:tcPr>
          <w:p>
            <w:pPr>
              <w:jc w:val="right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diagram of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company</w:t>
            </w:r>
          </w:p>
        </w:tc>
        <w:tc>
          <w:tcPr>
            <w:tcW w:w="4880" w:type="dxa"/>
            <w:vAlign w:val="bottom"/>
          </w:tcPr>
          <w:p>
            <w:pPr>
              <w:ind w:left="1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 corporate structure, identifying the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or entity that owns</w:t>
            </w:r>
          </w:p>
        </w:tc>
        <w:tc>
          <w:tcPr>
            <w:tcW w:w="62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each depicted entity. Identify clearly the entity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equity</w:t>
            </w:r>
          </w:p>
        </w:tc>
        <w:tc>
          <w:tcPr>
            <w:tcW w:w="6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which investors own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their</w:t>
            </w:r>
          </w:p>
        </w:tc>
        <w:tc>
          <w:tcPr>
            <w:tcW w:w="5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entity(ies) in which the company   s operations 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70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interest and the</w:t>
            </w:r>
          </w:p>
        </w:tc>
        <w:tc>
          <w:tcPr>
            <w:tcW w:w="5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conducted. Describe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corporate structure may affect investors and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70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how this type of</w:t>
            </w:r>
          </w:p>
        </w:tc>
        <w:tc>
          <w:tcPr>
            <w:tcW w:w="5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60" w:type="dxa"/>
            <w:vAlign w:val="bottom"/>
          </w:tcPr>
          <w:p>
            <w:pPr>
              <w:jc w:val="right"/>
              <w:ind w:righ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value of their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7" w:name="page8"/>
    <w:bookmarkEnd w:id="7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the forefront of your filings, provide a summary of risk factors regarding your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corporate structure and being based in or having the majority of the company s operations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China poses to investors. In particular, describe the significant regulatory, liquidity, and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enforcement risks with cross-references to the more detailed discussion of these risks in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filing. For example, specifically discuss risks arising from the legal system in China,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risks and uncertainties regarding the enforcement of laws and that rules and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regulations in China can change quickly with little advance notice; and the risk that the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Chinese government may intervene or influence your operations at any time, or may exert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more control over offerings conducted overseas and/or foreign investment in China-based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issuers, which could result in a material change in your operations and/or the value of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securities. Acknowledge any risks that any actions by the Chinese government to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exert more oversight and control over offerings that are conducted overseas and/or foreign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 in China-based issuers could significantly limit or completely hinder your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ability to offer or continue to offer securities to investors and cause the value of such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to significantly decline or be worthless.</w:t>
      </w:r>
    </w:p>
    <w:p>
      <w:pPr>
        <w:ind w:right="1919" w:firstLine="8"/>
        <w:spacing w:after="0" w:line="238" w:lineRule="auto"/>
        <w:tabs>
          <w:tab w:leader="none" w:pos="948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the forefront of your filing, prominently disclose each permission or approval that you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your subsidiaries are required to obtain from Chinese authorities to operate your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and to offer the securities to foreign investors. State whether you or your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 McKechnie</w:t>
      </w:r>
    </w:p>
    <w:p>
      <w:pPr>
        <w:ind w:right="66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LastNameMark McKechnie ACM Research, Inc.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48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July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12,</w:t>
            </w:r>
          </w:p>
        </w:tc>
        <w:tc>
          <w:tcPr>
            <w:tcW w:w="2580" w:type="dxa"/>
            <w:vAlign w:val="bottom"/>
          </w:tcPr>
          <w:p>
            <w:pPr>
              <w:jc w:val="right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NameACM Research,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jc w:val="right"/>
              <w:ind w:right="20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July 12,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  <w:tab/>
        <w:t>9 2022 Page 9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subsidiaries are covered by permissions requirements from the China Securities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Regulatory Commission (CSRC), Cyberspace Administration of China (CAC)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any</w:t>
      </w:r>
    </w:p>
    <w:p>
      <w:pPr>
        <w:ind w:right="307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governmental agency that is required to approve your subsidiaries operations,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97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 affirmatively whether you have received all requisite permissions or approvals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any permissions or approvals have been denied. Please also describe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consequences to you and your investors if you or your subsidiaries: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(i) do not receive or</w:t>
      </w: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maintain such permissions or approvals, (ii) inadvertently conclude that such permissions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approvals are not required, or (iii) applicable laws, regulations, or interpretations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 and you are required to obtain such permissions or approvals in the future.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38" w:lineRule="auto"/>
        <w:tabs>
          <w:tab w:leader="none" w:pos="948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Prominently disclose in your MD&amp;A and financial statements that trading in your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will be prohibited under the Holding Foreign Companies Accountable Act since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PCAOB determined that it cannot inspect or investigate completely your auditor, and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as a result an exchange may determine to delist your securities. Disclose that your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auditor is subject to the determinations announced by the PCAOB on December 16,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2021. Include a discussion of the rules adopted by the SEC relating to the Holding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Foreign Companies Accountable Act and how those rules affect your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Fiscal Quarter Ended March 31, 2022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Consolidated Financial Statements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6 - Property Plant and Equipment, Net, page 14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8" w:name="page9"/>
    <w:bookmarkEnd w:id="8"/>
    <w:p>
      <w:pPr>
        <w:ind w:right="2659" w:firstLine="8"/>
        <w:spacing w:after="0" w:line="257" w:lineRule="auto"/>
        <w:tabs>
          <w:tab w:leader="none" w:pos="948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buildings and plants represents Lingang Housing transferred to ACM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Shengwei in January 2022 at a value of $41,497 (RMB 263,979), including the purchase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 and accumulated interest, and with estimated useful lives of 30 year. However, on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17 you disclose that the right certificate of the pledged property has not been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obtained with regards to the purchased property in Lingang, Shanghai. Please disclose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basis for recognizing the assets given that right certificates have not been obtained.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2.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Tell us the</w:t>
            </w:r>
          </w:p>
        </w:tc>
        <w:tc>
          <w:tcPr>
            <w:tcW w:w="5540" w:type="dxa"/>
            <w:vAlign w:val="bottom"/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accounting literature considered.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Management</w:t>
            </w:r>
          </w:p>
        </w:tc>
        <w:tc>
          <w:tcPr>
            <w:tcW w:w="55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 Discussion and Analysis of Financial Condition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Results</w:t>
            </w: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</w:t>
            </w:r>
          </w:p>
        </w:tc>
        <w:tc>
          <w:tcPr>
            <w:tcW w:w="5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COVID-19, page 29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57" w:lineRule="auto"/>
        <w:tabs>
          <w:tab w:leader="none" w:pos="948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COVID-19 disclosure to provide a more detailed analysis in both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quantitative and qualitative terms as to how COVID-19 has affected your results of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 and liquidity. This analysis should address revenue, cost of revenue, operating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expenses, cash flows, and any other financial statement category effected. In addition,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expand your supplier discussion to disclose in both quantitative and qualitative terms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the supply issues have effected your results of operations and liquidity. Updated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Form 10-K for the fiscal year ended December 31, 2021, accordingly.</w:t>
      </w:r>
    </w:p>
    <w:p>
      <w:pPr>
        <w:ind w:right="8239" w:firstLine="105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 McKechnie ACM Research, Inc. July 12, 2022 Page 10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57" w:lineRule="auto"/>
        <w:tabs>
          <w:tab w:leader="none" w:pos="948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43, that On March 30, 2022, your company was</w:t>
      </w:r>
    </w:p>
    <w:p>
      <w:pPr>
        <w:ind w:left="960"/>
        <w:spacing w:after="0"/>
        <w:tabs>
          <w:tab w:leader="none" w:pos="3560" w:val="left"/>
          <w:tab w:leader="none" w:pos="4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transferred to the SEC</w:t>
        <w:tab/>
        <w:t>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Conclusive list of issuers identified</w:t>
      </w:r>
    </w:p>
    <w:p>
      <w:pPr>
        <w:spacing w:after="0"/>
        <w:tabs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HFCA.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Please</w:t>
      </w: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prominently disclose this at the forefront of your filing. Disclose the risks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consequences of being added to the list. For example, you should disclose that the value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your securities may significantly decline or become worthless, and that your securities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eventually be delisted.</w:t>
      </w:r>
    </w:p>
    <w:p>
      <w:pPr>
        <w:ind w:right="201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8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Inessa Kessman, Senior Staff Accountant at 202-551-3371 or Robert</w:t>
      </w: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Littlepage at 202-551-3361 if you have questions regarding the comments or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LastNameMark McKechnie</w:t>
            </w:r>
          </w:p>
        </w:tc>
        <w:tc>
          <w:tcPr>
            <w:tcW w:w="280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NameACM Research, Inc.</w:t>
            </w:r>
          </w:p>
        </w:tc>
        <w:tc>
          <w:tcPr>
            <w:tcW w:w="2800" w:type="dxa"/>
            <w:vAlign w:val="bottom"/>
            <w:vMerge w:val="restart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vMerge w:val="restart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July 12, 2022 Page 10</w:t>
            </w:r>
          </w:p>
        </w:tc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Technology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3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F16E9E8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1190CDE7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6EF438D"/>
    <w:multiLevelType w:val="hybridMultilevel"/>
    <w:lvl w:ilvl="0">
      <w:lvlJc w:val="left"/>
      <w:lvlText w:val="%1."/>
      <w:numFmt w:val="decimal"/>
      <w:start w:val="8"/>
    </w:lvl>
  </w:abstractNum>
  <w:abstractNum w:abstractNumId="3">
    <w:nsid w:val="140E0F76"/>
    <w:multiLevelType w:val="hybridMultilevel"/>
    <w:lvl w:ilvl="0">
      <w:lvlJc w:val="left"/>
      <w:lvlText w:val="%1."/>
      <w:numFmt w:val="decimal"/>
      <w:start w:val="9"/>
    </w:lvl>
  </w:abstractNum>
  <w:abstractNum w:abstractNumId="4">
    <w:nsid w:val="3352255A"/>
    <w:multiLevelType w:val="hybridMultilevel"/>
    <w:lvl w:ilvl="0">
      <w:lvlJc w:val="left"/>
      <w:lvlText w:val="%1."/>
      <w:numFmt w:val="decimal"/>
      <w:start w:val="10"/>
    </w:lvl>
  </w:abstractNum>
  <w:abstractNum w:abstractNumId="5">
    <w:nsid w:val="109CF92E"/>
    <w:multiLevelType w:val="hybridMultilevel"/>
    <w:lvl w:ilvl="0">
      <w:lvlJc w:val="left"/>
      <w:lvlText w:val="%1."/>
      <w:numFmt w:val="decimal"/>
      <w:start w:val="14"/>
    </w:lvl>
  </w:abstractNum>
  <w:abstractNum w:abstractNumId="6">
    <w:nsid w:val="DED7263"/>
    <w:multiLevelType w:val="hybridMultilevel"/>
    <w:lvl w:ilvl="0">
      <w:lvlJc w:val="left"/>
      <w:lvlText w:val="%1."/>
      <w:numFmt w:val="decimal"/>
      <w:start w:val="16"/>
    </w:lvl>
  </w:abstractNum>
  <w:abstractNum w:abstractNumId="7">
    <w:nsid w:val="7FDCC233"/>
    <w:multiLevelType w:val="hybridMultilevel"/>
    <w:lvl w:ilvl="0">
      <w:lvlJc w:val="left"/>
      <w:lvlText w:val="%1."/>
      <w:numFmt w:val="decimal"/>
      <w:start w:val="17"/>
    </w:lvl>
  </w:abstractNum>
  <w:abstractNum w:abstractNumId="8">
    <w:nsid w:val="1BEFD79F"/>
    <w:multiLevelType w:val="hybridMultilevel"/>
    <w:lvl w:ilvl="0">
      <w:lvlJc w:val="left"/>
      <w:lvlText w:val="%1."/>
      <w:numFmt w:val="decimal"/>
      <w:start w:val="19"/>
    </w:lvl>
  </w:abstractNum>
  <w:abstractNum w:abstractNumId="9">
    <w:nsid w:val="41A7C4C9"/>
    <w:multiLevelType w:val="hybridMultilevel"/>
    <w:lvl w:ilvl="0">
      <w:lvlJc w:val="left"/>
      <w:lvlText w:val="%1."/>
      <w:numFmt w:val="decimal"/>
      <w:start w:val="21"/>
    </w:lvl>
  </w:abstractNum>
  <w:abstractNum w:abstractNumId="10">
    <w:nsid w:val="6B68079A"/>
    <w:multiLevelType w:val="hybridMultilevel"/>
    <w:lvl w:ilvl="0">
      <w:lvlJc w:val="left"/>
      <w:lvlText w:val="%1."/>
      <w:numFmt w:val="decimal"/>
      <w:start w:val="22"/>
    </w:lvl>
  </w:abstractNum>
  <w:abstractNum w:abstractNumId="11">
    <w:nsid w:val="4E6AFB66"/>
    <w:multiLevelType w:val="hybridMultilevel"/>
    <w:lvl w:ilvl="0">
      <w:lvlJc w:val="left"/>
      <w:lvlText w:val="%1."/>
      <w:numFmt w:val="decimal"/>
      <w:start w:val="23"/>
    </w:lvl>
  </w:abstractNum>
  <w:abstractNum w:abstractNumId="12">
    <w:nsid w:val="25E45D32"/>
    <w:multiLevelType w:val="hybridMultilevel"/>
    <w:lvl w:ilvl="0">
      <w:lvlJc w:val="left"/>
      <w:lvlText w:val="%1."/>
      <w:numFmt w:val="decimal"/>
      <w:start w:val="25"/>
    </w:lvl>
  </w:abstractNum>
  <w:abstractNum w:abstractNumId="13">
    <w:nsid w:val="519B500D"/>
    <w:multiLevelType w:val="hybridMultilevel"/>
    <w:lvl w:ilvl="0">
      <w:lvlJc w:val="left"/>
      <w:lvlText w:val="%1."/>
      <w:numFmt w:val="decimal"/>
      <w:start w:val="26"/>
    </w:lvl>
  </w:abstractNum>
  <w:abstractNum w:abstractNumId="14">
    <w:nsid w:val="431BD7B7"/>
    <w:multiLevelType w:val="hybridMultilevel"/>
    <w:lvl w:ilvl="0">
      <w:lvlJc w:val="left"/>
      <w:lvlText w:val="%1."/>
      <w:numFmt w:val="decimal"/>
      <w:start w:val="27"/>
    </w:lvl>
  </w:abstractNum>
  <w:abstractNum w:abstractNumId="15">
    <w:nsid w:val="3F2DBA31"/>
    <w:multiLevelType w:val="hybridMultilevel"/>
    <w:lvl w:ilvl="0">
      <w:lvlJc w:val="left"/>
      <w:lvlText w:val="%1."/>
      <w:numFmt w:val="decimal"/>
      <w:start w:val="30"/>
    </w:lvl>
  </w:abstractNum>
  <w:abstractNum w:abstractNumId="16">
    <w:nsid w:val="7C83E458"/>
    <w:multiLevelType w:val="hybridMultilevel"/>
    <w:lvl w:ilvl="0">
      <w:lvlJc w:val="left"/>
      <w:lvlText w:val="%1."/>
      <w:numFmt w:val="decimal"/>
      <w:start w:val="31"/>
    </w:lvl>
  </w:abstractNum>
  <w:abstractNum w:abstractNumId="17">
    <w:nsid w:val="257130A3"/>
    <w:multiLevelType w:val="hybridMultilevel"/>
    <w:lvl w:ilvl="0">
      <w:lvlJc w:val="left"/>
      <w:lvlText w:val="%1."/>
      <w:numFmt w:val="decimal"/>
      <w:start w:val="33"/>
    </w:lvl>
  </w:abstractNum>
  <w:abstractNum w:abstractNumId="18">
    <w:nsid w:val="62BBD95A"/>
    <w:multiLevelType w:val="hybridMultilevel"/>
    <w:lvl w:ilvl="0">
      <w:lvlJc w:val="left"/>
      <w:lvlText w:val="%1."/>
      <w:numFmt w:val="decimal"/>
      <w:start w:val="35"/>
    </w:lvl>
  </w:abstractNum>
  <w:abstractNum w:abstractNumId="19">
    <w:nsid w:val="436C6125"/>
    <w:multiLevelType w:val="hybridMultilevel"/>
    <w:lvl w:ilvl="0">
      <w:lvlJc w:val="left"/>
      <w:lvlText w:val="%1."/>
      <w:numFmt w:val="decimal"/>
      <w:start w:val="36"/>
    </w:lvl>
  </w:abstractNum>
  <w:abstractNum w:abstractNumId="20">
    <w:nsid w:val="628C895D"/>
    <w:multiLevelType w:val="hybridMultilevel"/>
    <w:lvl w:ilvl="0">
      <w:lvlJc w:val="left"/>
      <w:lvlText w:val="%1."/>
      <w:numFmt w:val="decimal"/>
      <w:start w:val="37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2023-03-20T23:20:33Z</dcterms:created>
  <dcterms:modified xsi:type="dcterms:W3CDTF">2023-03-20T23:20:33Z</dcterms:modified>
</cp:coreProperties>
</file>