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30,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39"/>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52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4" w:lineRule="exact"/>
        <w:rPr>
          <w:sz w:val="24"/>
          <w:szCs w:val="24"/>
          <w:color w:val="auto"/>
        </w:rPr>
      </w:pPr>
    </w:p>
    <w:p>
      <w:pPr>
        <w:ind w:left="90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30, 2024, we issued a press release entitled “ACM Research Announces Preliminary Unaudited Revenue and Shipments for the Third Quarter 2024.” The full text of the press release is furnished as Exhibit 99.1 hereto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280"/>
        <w:spacing w:after="0"/>
        <w:tabs>
          <w:tab w:leader="none" w:pos="10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Press Release of ACM Research, Inc. dated October 30, 2024</w:t>
      </w:r>
    </w:p>
    <w:p>
      <w:pPr>
        <w:spacing w:after="0" w:line="225"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8460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2024</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65505" cy="539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6550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Announces Preliminary Unaudited Revenue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Shipments for the Third Quarter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Coincides with Release of ACM Shanghai Third Quarter 2024 Results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FREMONT, Calif., October 30, 2024 (GLOBE NEWSWIRE) – ACM Research, Inc. (“ACM”) (NASDAQ: ACMR), a leading supplier of wafer processing solutions for semiconductor and advanced wafer-level packaging applications, today announces expectations for preliminary unaudited revenue and total shipments for the third quarter of 2024. Today’s release coincides with the as-scheduled release of unaudited financial results by ACM Research (Shanghai), Inc., ACM’s principal operating subsidiary (“ACM Shanghai”), to the Shanghai Stock Exchange website [link to China Disclosure].</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ACM will discuss its full financial results for the third quarter 2024 and its revenue outlook for the remainder of the year on its earnings call on Thursday, November 7, 2024, at 8 a.m. Eastern Time (9 p.m. China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ACM announces the following:</w:t>
      </w:r>
    </w:p>
    <w:p>
      <w:pPr>
        <w:spacing w:after="0" w:line="27" w:lineRule="exact"/>
        <w:rPr>
          <w:sz w:val="20"/>
          <w:szCs w:val="20"/>
          <w:color w:val="auto"/>
        </w:rPr>
      </w:pPr>
    </w:p>
    <w:p>
      <w:pPr>
        <w:ind w:left="340" w:right="40" w:hanging="332"/>
        <w:spacing w:after="0" w:line="25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unaudited revenue for the third quarter of 2024 is expected to be in the range of $200 million to $203 million, which would represent year-to-year growth of 19% to 20%.</w:t>
      </w:r>
    </w:p>
    <w:p>
      <w:pPr>
        <w:ind w:left="340" w:right="40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total shipments are expected to be in the range of $245 million to $255 million, which would represent year-to-year growth of 15% to 19%.</w:t>
      </w:r>
    </w:p>
    <w:p>
      <w:pPr>
        <w:spacing w:after="0" w:line="1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Actual unaudited third quarter 2024 results are subject to the completion of ACM’s quarter end closing procedures and review by ACM’s independent registered public accounting firm.</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ACM currently owns an 82.0% equity interest in ACM Shanghai, and a substantial majority of ACM’s consolidated revenue and net income is contributed by ACM Shanghai. The stand-alone financial results of ACM Shanghai are reported in RMB as prepared in accordance with Chinese generally accepted accounting principles, and those results will differ, potentially materially, from ACM’s consolidated revenue and net profit for the period, which will reflect additional financial and operational items and will be prepared in U.S. dollars in accordance with U.S. generally accepted accounting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ACM Research, Inc.</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 xml:space="preserve">ACM develops, manufactures and sells semiconductor process equipment for single-wafer or batch wet cleaning, electroplating, stress-free polishing, vertical furnace processes, Track and PECVD, which are critical to advanced semiconductor device manufacturing and wafer-level packaging. ACM is committed to delivering customized, high performance, cost-effective process solutions that semiconductor manufacturers can use in numerous manufacturing steps to improve productivity and product yield. For more information, visit </w:t>
      </w:r>
      <w:r>
        <w:rPr>
          <w:rFonts w:ascii="Times New Roman" w:cs="Times New Roman" w:eastAsia="Times New Roman" w:hAnsi="Times New Roman"/>
          <w:sz w:val="18"/>
          <w:szCs w:val="18"/>
          <w:u w:val="single" w:color="auto"/>
          <w:color w:val="auto"/>
        </w:rPr>
        <w:t>www.acmrcsh.com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94" w:lineRule="exact"/>
        <w:rPr>
          <w:sz w:val="20"/>
          <w:szCs w:val="20"/>
          <w:color w:val="auto"/>
        </w:rPr>
      </w:pPr>
    </w:p>
    <w:p>
      <w:pPr>
        <w:jc w:val="both"/>
        <w:ind w:right="500" w:firstLine="8"/>
        <w:spacing w:after="0" w:line="312" w:lineRule="auto"/>
        <w:tabs>
          <w:tab w:leader="none" w:pos="18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ACM Research, Inc. The ACM Research logo is a trademark of ACM Research, Inc. For convenience, this trademark appears in this press release without a ™ symbol, but that practice does not mean that ACM will not assert, to the fullest extent under applicable law, its rights to such trademark.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18"/>
        </w:trPr>
        <w:tc>
          <w:tcPr>
            <w:tcW w:w="3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Steven C. Pelayo, CFA</w:t>
            </w:r>
          </w:p>
        </w:tc>
      </w:tr>
      <w:tr>
        <w:trPr>
          <w:trHeight w:val="214"/>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 (360) 808-5154</w:t>
            </w:r>
          </w:p>
        </w:tc>
      </w:tr>
      <w:tr>
        <w:trPr>
          <w:trHeight w:val="218"/>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steven@blueshirtgroup.co</w:t>
            </w:r>
          </w:p>
        </w:tc>
      </w:tr>
      <w:tr>
        <w:trPr>
          <w:trHeight w:val="194"/>
        </w:trPr>
        <w:tc>
          <w:tcPr>
            <w:tcW w:w="300" w:type="dxa"/>
            <w:vAlign w:val="bottom"/>
          </w:tcPr>
          <w:p>
            <w:pPr>
              <w:spacing w:after="0"/>
              <w:rPr>
                <w:sz w:val="16"/>
                <w:szCs w:val="16"/>
                <w:color w:val="auto"/>
              </w:rPr>
            </w:pPr>
          </w:p>
        </w:tc>
        <w:tc>
          <w:tcPr>
            <w:tcW w:w="1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In China:</w:t>
            </w:r>
          </w:p>
        </w:tc>
        <w:tc>
          <w:tcPr>
            <w:tcW w:w="9080" w:type="dxa"/>
            <w:vAlign w:val="bottom"/>
          </w:tcPr>
          <w:p>
            <w:pPr>
              <w:ind w:left="380"/>
              <w:spacing w:after="0" w:line="194" w:lineRule="exact"/>
              <w:rPr>
                <w:sz w:val="20"/>
                <w:szCs w:val="20"/>
                <w:color w:val="auto"/>
              </w:rPr>
            </w:pPr>
            <w:r>
              <w:rPr>
                <w:rFonts w:ascii="Times New Roman" w:cs="Times New Roman" w:eastAsia="Times New Roman" w:hAnsi="Times New Roman"/>
                <w:sz w:val="18"/>
                <w:szCs w:val="18"/>
                <w:color w:val="auto"/>
              </w:rPr>
              <w:t>The Blueshirt Group Asia</w:t>
            </w:r>
          </w:p>
        </w:tc>
      </w:tr>
      <w:tr>
        <w:trPr>
          <w:trHeight w:val="218"/>
        </w:trPr>
        <w:tc>
          <w:tcPr>
            <w:tcW w:w="3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6"/>
        </w:trPr>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8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gary@blueshirtgroup.co</w:t>
            </w:r>
          </w:p>
        </w:tc>
      </w:tr>
      <w:tr>
        <w:trPr>
          <w:trHeight w:val="533"/>
        </w:trPr>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2024-10-30T07:44:44Z</dcterms:created>
  <dcterms:modified xsi:type="dcterms:W3CDTF">2024-10-30T07:44:44Z</dcterms:modified>
</cp:coreProperties>
</file>