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551180</wp:posOffset>
            </wp:positionH>
            <wp:positionV relativeFrom="page">
              <wp:posOffset>735965</wp:posOffset>
            </wp:positionV>
            <wp:extent cx="68529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2920" cy="762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757555</wp:posOffset>
            </wp:positionV>
            <wp:extent cx="68529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2920" cy="7620"/>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 of Report (Date of earliest event reported): June 18, 2026</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ACM Research,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(Exact Name of Registrant as Specified in its Charter)</w:t>
      </w:r>
    </w:p>
    <w:p>
      <w:pPr>
        <w:spacing w:after="0" w:line="224"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3960" w:type="dxa"/>
            <w:vAlign w:val="bottom"/>
          </w:tcPr>
          <w:p>
            <w:pPr>
              <w:jc w:val="center"/>
              <w:ind w:right="106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880" w:type="dxa"/>
            <w:vAlign w:val="bottom"/>
          </w:tcPr>
          <w:p>
            <w:pPr>
              <w:jc w:val="right"/>
              <w:ind w:right="1263"/>
              <w:spacing w:after="0"/>
              <w:rPr>
                <w:sz w:val="20"/>
                <w:szCs w:val="20"/>
                <w:color w:val="auto"/>
              </w:rPr>
            </w:pPr>
            <w:r>
              <w:rPr>
                <w:rFonts w:ascii="Times New Roman" w:cs="Times New Roman" w:eastAsia="Times New Roman" w:hAnsi="Times New Roman"/>
                <w:sz w:val="15"/>
                <w:szCs w:val="15"/>
                <w:b w:val="1"/>
                <w:bCs w:val="1"/>
                <w:color w:val="auto"/>
              </w:rPr>
              <w:t>001-38273</w:t>
            </w:r>
          </w:p>
        </w:tc>
        <w:tc>
          <w:tcPr>
            <w:tcW w:w="3120" w:type="dxa"/>
            <w:vAlign w:val="bottom"/>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94-3290283</w:t>
            </w:r>
          </w:p>
        </w:tc>
      </w:tr>
      <w:tr>
        <w:trPr>
          <w:trHeight w:val="220"/>
        </w:trPr>
        <w:tc>
          <w:tcPr>
            <w:tcW w:w="3960" w:type="dxa"/>
            <w:vAlign w:val="bottom"/>
          </w:tcPr>
          <w:p>
            <w:pPr>
              <w:jc w:val="center"/>
              <w:ind w:right="1063"/>
              <w:spacing w:after="0"/>
              <w:rPr>
                <w:sz w:val="20"/>
                <w:szCs w:val="20"/>
                <w:color w:val="auto"/>
              </w:rPr>
            </w:pPr>
            <w:r>
              <w:rPr>
                <w:rFonts w:ascii="Times New Roman" w:cs="Times New Roman" w:eastAsia="Times New Roman" w:hAnsi="Times New Roman"/>
                <w:sz w:val="15"/>
                <w:szCs w:val="15"/>
                <w:i w:val="1"/>
                <w:iCs w:val="1"/>
                <w:color w:val="auto"/>
              </w:rPr>
              <w:t>(State or Other Jurisdiction of Incorporation)</w:t>
            </w:r>
          </w:p>
        </w:tc>
        <w:tc>
          <w:tcPr>
            <w:tcW w:w="2880" w:type="dxa"/>
            <w:vAlign w:val="bottom"/>
          </w:tcPr>
          <w:p>
            <w:pPr>
              <w:jc w:val="center"/>
              <w:ind w:right="383"/>
              <w:spacing w:after="0"/>
              <w:rPr>
                <w:sz w:val="20"/>
                <w:szCs w:val="20"/>
                <w:color w:val="auto"/>
              </w:rPr>
            </w:pPr>
            <w:r>
              <w:rPr>
                <w:rFonts w:ascii="Times New Roman" w:cs="Times New Roman" w:eastAsia="Times New Roman" w:hAnsi="Times New Roman"/>
                <w:sz w:val="15"/>
                <w:szCs w:val="15"/>
                <w:i w:val="1"/>
                <w:iCs w:val="1"/>
                <w:color w:val="auto"/>
              </w:rPr>
              <w:t>(Commission File Number)</w:t>
            </w:r>
          </w:p>
        </w:tc>
        <w:tc>
          <w:tcPr>
            <w:tcW w:w="3120" w:type="dxa"/>
            <w:vAlign w:val="bottom"/>
          </w:tcPr>
          <w:p>
            <w:pPr>
              <w:jc w:val="center"/>
              <w:ind w:left="963"/>
              <w:spacing w:after="0"/>
              <w:rPr>
                <w:sz w:val="20"/>
                <w:szCs w:val="20"/>
                <w:color w:val="auto"/>
              </w:rPr>
            </w:pPr>
            <w:r>
              <w:rPr>
                <w:rFonts w:ascii="Times New Roman" w:cs="Times New Roman" w:eastAsia="Times New Roman" w:hAnsi="Times New Roman"/>
                <w:sz w:val="15"/>
                <w:szCs w:val="15"/>
                <w:i w:val="1"/>
                <w:iCs w:val="1"/>
                <w:color w:val="auto"/>
              </w:rPr>
              <w:t>(IRS Employer Identification No.)</w:t>
            </w:r>
          </w:p>
        </w:tc>
      </w:tr>
      <w:tr>
        <w:trPr>
          <w:trHeight w:val="491"/>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42307 Osgood Road, Suite I</w:t>
            </w:r>
          </w:p>
        </w:tc>
        <w:tc>
          <w:tcPr>
            <w:tcW w:w="28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5"/>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Fremont, California</w:t>
            </w:r>
          </w:p>
        </w:tc>
        <w:tc>
          <w:tcPr>
            <w:tcW w:w="2880" w:type="dxa"/>
            <w:vAlign w:val="bottom"/>
          </w:tcPr>
          <w:p>
            <w:pPr>
              <w:spacing w:after="0"/>
              <w:rPr>
                <w:sz w:val="18"/>
                <w:szCs w:val="18"/>
                <w:color w:val="auto"/>
              </w:rPr>
            </w:pPr>
          </w:p>
        </w:tc>
        <w:tc>
          <w:tcPr>
            <w:tcW w:w="3120" w:type="dxa"/>
            <w:vAlign w:val="bottom"/>
          </w:tcPr>
          <w:p>
            <w:pPr>
              <w:jc w:val="right"/>
              <w:ind w:right="1703"/>
              <w:spacing w:after="0"/>
              <w:rPr>
                <w:sz w:val="20"/>
                <w:szCs w:val="20"/>
                <w:color w:val="auto"/>
              </w:rPr>
            </w:pPr>
            <w:r>
              <w:rPr>
                <w:rFonts w:ascii="Times New Roman" w:cs="Times New Roman" w:eastAsia="Times New Roman" w:hAnsi="Times New Roman"/>
                <w:sz w:val="15"/>
                <w:szCs w:val="15"/>
                <w:b w:val="1"/>
                <w:bCs w:val="1"/>
                <w:color w:val="auto"/>
              </w:rPr>
              <w:t>94539</w:t>
            </w:r>
          </w:p>
        </w:tc>
      </w:tr>
      <w:tr>
        <w:trPr>
          <w:trHeight w:val="220"/>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i w:val="1"/>
                <w:iCs w:val="1"/>
                <w:color w:val="auto"/>
              </w:rPr>
              <w:t>(Address of Principal Executive Offices)</w:t>
            </w:r>
          </w:p>
        </w:tc>
        <w:tc>
          <w:tcPr>
            <w:tcW w:w="2880" w:type="dxa"/>
            <w:vAlign w:val="bottom"/>
          </w:tcPr>
          <w:p>
            <w:pPr>
              <w:spacing w:after="0"/>
              <w:rPr>
                <w:sz w:val="19"/>
                <w:szCs w:val="19"/>
                <w:color w:val="auto"/>
              </w:rPr>
            </w:pPr>
          </w:p>
        </w:tc>
        <w:tc>
          <w:tcPr>
            <w:tcW w:w="3120" w:type="dxa"/>
            <w:vAlign w:val="bottom"/>
          </w:tcPr>
          <w:p>
            <w:pPr>
              <w:jc w:val="center"/>
              <w:ind w:right="763"/>
              <w:spacing w:after="0"/>
              <w:rPr>
                <w:sz w:val="20"/>
                <w:szCs w:val="20"/>
                <w:color w:val="auto"/>
              </w:rPr>
            </w:pPr>
            <w:r>
              <w:rPr>
                <w:rFonts w:ascii="Times New Roman" w:cs="Times New Roman" w:eastAsia="Times New Roman" w:hAnsi="Times New Roman"/>
                <w:sz w:val="15"/>
                <w:szCs w:val="15"/>
                <w:i w:val="1"/>
                <w:iCs w:val="1"/>
                <w:color w:val="auto"/>
              </w:rPr>
              <w:t>(Zip Code)</w:t>
            </w:r>
          </w:p>
        </w:tc>
      </w:tr>
    </w:tbl>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(510) 445-3700</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3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432"/>
        </w:trPr>
        <w:tc>
          <w:tcPr>
            <w:tcW w:w="36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80" w:type="dxa"/>
            <w:vAlign w:val="bottom"/>
          </w:tcPr>
          <w:p>
            <w:pPr>
              <w:spacing w:after="0"/>
              <w:rPr>
                <w:sz w:val="24"/>
                <w:szCs w:val="2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8"/>
        </w:trPr>
        <w:tc>
          <w:tcPr>
            <w:tcW w:w="3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ACMR</w:t>
            </w:r>
          </w:p>
        </w:tc>
        <w:tc>
          <w:tcPr>
            <w:tcW w:w="3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252" w:lineRule="exact"/>
        <w:rPr>
          <w:sz w:val="24"/>
          <w:szCs w:val="24"/>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5"/>
          <w:szCs w:val="15"/>
          <w:b w:val="1"/>
          <w:bCs w:val="1"/>
          <w:color w:val="auto"/>
        </w:rPr>
        <w:t>o</w:t>
      </w:r>
    </w:p>
    <w:p>
      <w:pPr>
        <w:spacing w:after="0" w:line="132" w:lineRule="exact"/>
        <w:rPr>
          <w:sz w:val="24"/>
          <w:szCs w:val="24"/>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697230</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121920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27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8.01 Other Events.</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June 2026 Investor Relations Activity (the “Record”). The SSE posted the Record to the SSE’s website on June 18, 2026. A copy of the Record is attached as Exhibit 99.1 hereto.</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spacing w:after="0" w:line="1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auto"/>
        </w:rPr>
        <w:t>Item 9.01</w:t>
        <w:tab/>
        <w:t>Financial Statements and Exhibits.</w:t>
      </w:r>
    </w:p>
    <w:p>
      <w:pPr>
        <w:spacing w:after="0" w:line="1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(d)</w:t>
        <w:tab/>
        <w:t>Exhibits.</w:t>
      </w:r>
    </w:p>
    <w:p>
      <w:pPr>
        <w:spacing w:after="0" w:line="195" w:lineRule="exact"/>
        <w:rPr>
          <w:sz w:val="20"/>
          <w:szCs w:val="20"/>
          <w:color w:val="auto"/>
        </w:rPr>
      </w:pPr>
    </w:p>
    <w:p>
      <w:pPr>
        <w:ind w:left="220"/>
        <w:spacing w:after="0"/>
        <w:tabs>
          <w:tab w:leader="none" w:pos="5900" w:val="left"/>
        </w:tabs>
        <w:rPr>
          <w:sz w:val="20"/>
          <w:szCs w:val="20"/>
          <w:color w:val="auto"/>
        </w:rPr>
      </w:pPr>
      <w:r>
        <w:rPr>
          <w:rFonts w:ascii="Times New Roman" w:cs="Times New Roman" w:eastAsia="Times New Roman" w:hAnsi="Times New Roman"/>
          <w:sz w:val="12"/>
          <w:szCs w:val="12"/>
          <w:b w:val="1"/>
          <w:bCs w:val="1"/>
          <w:color w:val="auto"/>
        </w:rPr>
        <w:t>Exhibit</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520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sectPr>
      </w:pP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u w:val="single" w:color="auto"/>
          <w:color w:val="0000FF"/>
        </w:rPr>
        <w:t>99.1</w:t>
      </w:r>
      <w:r>
        <w:rPr>
          <w:rFonts w:ascii="Times New Roman" w:cs="Times New Roman" w:eastAsia="Times New Roman" w:hAnsi="Times New Roman"/>
          <w:sz w:val="15"/>
          <w:szCs w:val="15"/>
          <w:color w:val="000000"/>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Record of June 2026 Investor Relations Activity filed by ACM Research (Shanghai), Inc. with the Shanghai Stock Exchange on June 18, 2026</w:t>
      </w:r>
    </w:p>
    <w:p>
      <w:pPr>
        <w:spacing w:after="0" w:line="110" w:lineRule="exact"/>
        <w:rPr>
          <w:sz w:val="20"/>
          <w:szCs w:val="20"/>
          <w:color w:val="auto"/>
        </w:rPr>
      </w:pPr>
    </w:p>
    <w:p>
      <w:pPr>
        <w:sectPr>
          <w:pgSz w:w="11900" w:h="16838" w:orient="portrait"/>
          <w:cols w:equalWidth="0" w:num="2">
            <w:col w:w="600" w:space="620"/>
            <w:col w:w="10040"/>
          </w:cols>
          <w:pgMar w:left="320" w:top="1221" w:right="319" w:bottom="1440" w:gutter="0" w:footer="0" w:header="0"/>
          <w:type w:val="continuous"/>
        </w:sectPr>
      </w:pP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XBRL document)</w:t>
      </w:r>
    </w:p>
    <w:p>
      <w:pPr>
        <w:spacing w:after="0" w:line="292" w:lineRule="exact"/>
        <w:rPr>
          <w:sz w:val="20"/>
          <w:szCs w:val="20"/>
          <w:color w:val="auto"/>
        </w:rPr>
      </w:pPr>
    </w:p>
    <w:p>
      <w:pPr>
        <w:sectPr>
          <w:pgSz w:w="11900" w:h="16838" w:orient="portrait"/>
          <w:cols w:equalWidth="0" w:num="2">
            <w:col w:w="540" w:space="680"/>
            <w:col w:w="10040"/>
          </w:cols>
          <w:pgMar w:left="320" w:top="122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8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color w:val="auto"/>
        </w:rPr>
        <w:t>ACM RESEARCH, INC.</w:t>
      </w:r>
    </w:p>
    <w:p>
      <w:pPr>
        <w:spacing w:after="0" w:line="342" w:lineRule="exact"/>
        <w:rPr>
          <w:sz w:val="20"/>
          <w:szCs w:val="20"/>
          <w:color w:val="auto"/>
        </w:rPr>
      </w:pPr>
    </w:p>
    <w:p>
      <w:pPr>
        <w:ind w:left="3600"/>
        <w:spacing w:after="0"/>
        <w:tabs>
          <w:tab w:leader="none" w:pos="396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Mark McKechnie</w:t>
      </w:r>
      <w:r>
        <w:rPr>
          <w:rFonts w:ascii="Times New Roman" w:cs="Times New Roman" w:eastAsia="Times New Roman" w:hAnsi="Times New Roman"/>
          <w:sz w:val="15"/>
          <w:szCs w:val="15"/>
          <w:color w:val="auto"/>
        </w:rPr>
        <w:t>________________________</w:t>
      </w:r>
    </w:p>
    <w:p>
      <w:pPr>
        <w:ind w:left="3760"/>
        <w:spacing w:after="0" w:line="225" w:lineRule="auto"/>
        <w:rPr>
          <w:sz w:val="20"/>
          <w:szCs w:val="20"/>
          <w:color w:val="auto"/>
        </w:rPr>
      </w:pPr>
      <w:r>
        <w:rPr>
          <w:rFonts w:ascii="Times New Roman" w:cs="Times New Roman" w:eastAsia="Times New Roman" w:hAnsi="Times New Roman"/>
          <w:sz w:val="15"/>
          <w:szCs w:val="15"/>
          <w:color w:val="auto"/>
        </w:rPr>
        <w:t>Mark McKechnie</w:t>
      </w:r>
    </w:p>
    <w:p>
      <w:pPr>
        <w:ind w:left="3600"/>
        <w:spacing w:after="0"/>
        <w:rPr>
          <w:sz w:val="20"/>
          <w:szCs w:val="20"/>
          <w:color w:val="auto"/>
        </w:rPr>
      </w:pPr>
      <w:r>
        <w:rPr>
          <w:rFonts w:ascii="Times New Roman" w:cs="Times New Roman" w:eastAsia="Times New Roman" w:hAnsi="Times New Roman"/>
          <w:sz w:val="15"/>
          <w:szCs w:val="15"/>
          <w:color w:val="auto"/>
        </w:rPr>
        <w:t>Chief Financial Officer and Treasurer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June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1221" w:right="33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2026-06-22T08:12:40Z</dcterms:created>
  <dcterms:modified xsi:type="dcterms:W3CDTF">2026-06-22T08:12:40Z</dcterms:modified>
</cp:coreProperties>
</file>