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12,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44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12, 2026, ACM Research, Inc. (the “Company”) entered into a Securities Purchase Agreement (the “Purchase Agreement”) with certain U.S. institutional investors named therein managed by Tekne Capital Management, LLC (the “Investors”). Pursuant to the Purchase Agreement, the Company agreed to issue and sell to the Investors in a registered direct offering (the “Offering”) an aggregate of 2,884,615 shares (the “Shares”) of Class A common stock, par value $0.0001 per share (“Common Stock”) at an offering price of $52.00 per Share pursuant to an effective shelf registration statement on Form S-3 (File No. 333-278041) and a related prospectus supplement filed with the U.S. Securities and Exchange Commission (“SEC”) on May 12, 2026 (the “Prospectus Supplement”). The closing of the Offering is expected to occur on or about May 15, 2026, subject to the satisfaction of customary closing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receive net proceeds from the Offering of approximately $149,849,980 million, after deducting estimated offering expenses payable by the Company. The Company intends to use the net proceeds from the Offering, together with its existing cash and cash equivalents, for U.S. and global expansion, as well as general corporate purposes.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and the Investors, customary conditions to closing, and other obligations of the parties. The Company agreed to a 6-month lock-up (that can be waived by the Investors’ investment advisor) with respect to the Company’s Class A common stock and its certain other securities, subject to certain exceptions. The representations, warranties and agreements contained in the Purchase Agreement were made only for purposes of such agreement and as of specific dates, were solely for the benefit of the parties to such agreement, and may be subject to limitations agreed upon by the contracting parties. Accordingly, the Purchase Agreement is incorporated herein by reference only to provide investors with information regarding the terms of the Purchase Agreement, and not to provide investors with any other factual information regarding the Company or its business, and should be read in conjunction with the disclosures in the Company’s periodic reports and other filings with the SEC.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K&amp;L Gates LLP, counsel to the Company, has issued an opinion to the Company, dated May 12, 2026, regarding the validity of the Shares to be issued and sold in the Offering. A copy of the opinion is filed as Exhibit 5.1 to this Form 8-K.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is not complete and is qualified in its entirety by reference to the full text of the Purchase Agreement, which is filed as Exhibit 10.1 to this Current Report on Form 8-K and is incorporated by reference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any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8-K includes “forward-looking statements” within the meaning of the Private Securities Litigation Reform Act of 1995. The Company intends such forward-looking statements to be covered by the safe harbor provisions for forward-looking statements contained in Section 27A of the Securities Act and Section 21E of the Securities Exchange Act of 1934, as amended. All statements contained in this Form 8-K other than statements of historical fact should be considered forward-looking statements, including, without limitation, statements regarding the Company’s intended use of the net proceeds from the Offering, and the closing of the Offering. When used herein, words including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the Company’s current expectations and various assumptions. The Company believes there is a reasonable basis for its expectations and beliefs, but they are inherently uncertain. The Company may not realize its expectations, and its beliefs may not prove correct. Actual results could differ materially from those described or implied by such forward-looking statements as a result of various important factors, including, without limitation, the risks and uncertainties associated with market conditions, the satisfaction of customary closing conditions relating to the Offering, and the other important factors discussed under the caption “Risk Factors” in the Prospectus Supplement and under the caption “Risk Factors” in the Company’s Annual Report on Form 10-K for the fiscal year ended December 31, 2025, as such factors may be updated from time to time in its other filings with the SEC, which are accessible on the SEC’s website at www.sec.gov. These and other important factors could cause actual results to differ materially from those indicated by the forward-looking statements made in this Current Report on Form 8-K. Any such forward-looking statements represent management’s estimates as of the date of this Current Report on Form 8-K. While the Company may elect to update such forward-looking statements at some point in the future, except as required by law, it disclaims any obligation to do so, even if subsequent events cause the Company’s views to change. These forward-looking statements should not be relied upon as representing the Company’s views as of any date subsequent to the date of this Current Report on Form 8-K.</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K&amp;L Gates LLP</w:t>
      </w:r>
    </w:p>
    <w:p>
      <w:pPr>
        <w:spacing w:after="0" w:line="225"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Securities Purchase Agreement, dated May 12, 2026, among the Company and the Investors</w:t>
      </w:r>
    </w:p>
    <w:p>
      <w:pPr>
        <w:spacing w:after="0" w:line="225"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K&amp;L Gates LLP (included in Exhibit 5.1)</w:t>
      </w:r>
    </w:p>
    <w:p>
      <w:pPr>
        <w:spacing w:after="0" w:line="2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59840" cy="1122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984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California 94539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ACM Research,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of an aggregate of 2,884,615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its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the Securities Purchase Agreement, dated as of May 12,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by and among the Company and the several investors named therein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In accordance with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rules and regulations promulgated thereunder, the Company has prepared and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S-3 (File No. 333-278041) (the “Registration Statement”), which became effective March 18, 2024, and will file with the Commission a prospectus supplement dated May 12, 2026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This opinion letter is being furnished to you in accordance with the requirements of Item 601(b)(5) of Regulation S-K under the Securities Act.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rendering our opinion set forth below, we have reviewed: (i) the Registration Statement; (ii) the Prospectus Supplement; (iii) the Purchase Agreement; (iv) the Restated Certificate of Incorporation of the Company as filed with the Secretary of State of the State of Delaware (the “</w:t>
      </w:r>
      <w:r>
        <w:rPr>
          <w:rFonts w:ascii="Times New Roman" w:cs="Times New Roman" w:eastAsia="Times New Roman" w:hAnsi="Times New Roman"/>
          <w:sz w:val="18"/>
          <w:szCs w:val="18"/>
          <w:u w:val="single" w:color="auto"/>
          <w:color w:val="auto"/>
        </w:rPr>
        <w:t>Secretary of State</w:t>
      </w:r>
      <w:r>
        <w:rPr>
          <w:rFonts w:ascii="Times New Roman" w:cs="Times New Roman" w:eastAsia="Times New Roman" w:hAnsi="Times New Roman"/>
          <w:sz w:val="18"/>
          <w:szCs w:val="18"/>
          <w:color w:val="auto"/>
        </w:rPr>
        <w:t>”) on November 7, 2017, as amended by the Certificate of Amendment to Restated Certificate of Incorporation of the Company as filed with the Secretary of State on July 13, 2021 (as so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(v) the Restated Bylaws of the Company adopted on November 7, 2017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(vi) the resolutions adopted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on April 29, 2026 relating to the issuance and sale of the Shares pursuant to the Purchase Agreement and the establishment of the Pricing Committee of the Board (the “</w:t>
      </w:r>
      <w:r>
        <w:rPr>
          <w:rFonts w:ascii="Times New Roman" w:cs="Times New Roman" w:eastAsia="Times New Roman" w:hAnsi="Times New Roman"/>
          <w:sz w:val="18"/>
          <w:szCs w:val="18"/>
          <w:u w:val="single" w:color="auto"/>
          <w:color w:val="auto"/>
        </w:rPr>
        <w:t>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(vii) the resolutions adopted by the Pricing Committee on May 11, 2026 by authorizing and approving certain matters relating to the issuance and sale of the Shares pursuant to the Purchase Agreement; and (viii) a fact certificate executed by an officer of the Company and dated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rendering our opinion set forth below, we have not reviewed any document other than the documents listed in (i) through (viii) above (the “</w:t>
      </w:r>
      <w:r>
        <w:rPr>
          <w:rFonts w:ascii="Times New Roman" w:cs="Times New Roman" w:eastAsia="Times New Roman" w:hAnsi="Times New Roman"/>
          <w:sz w:val="18"/>
          <w:szCs w:val="18"/>
          <w:u w:val="single" w:color="auto"/>
          <w:color w:val="auto"/>
        </w:rPr>
        <w:t>Reviewed Documents</w:t>
      </w:r>
      <w:r>
        <w:rPr>
          <w:rFonts w:ascii="Times New Roman" w:cs="Times New Roman" w:eastAsia="Times New Roman" w:hAnsi="Times New Roman"/>
          <w:sz w:val="18"/>
          <w:szCs w:val="18"/>
          <w:color w:val="auto"/>
        </w:rPr>
        <w:t>”) and assume there exists no provision in any document relating to the matters covered by our opinion set forth below that we have not reviewed that is inconsistent with the Reviewed Documents or our opinion set forth below. We have conducted no independent factual investigation of our own but rather have relied on the Reviewed Documents, the statements and information set forth therein and the additional matters recited or assumed in this opinion letter, all of which we assume to be true, complete and accurate in all respects.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opinion letter, we have made assumptions that are customary in opinion letters of this kind, including that: (a) each of the Reviewed Documents is accurate and complete; (b) each of the Reviewed Documents that is an original is authentic; (c) each Reviewed Document that is a copy conforms to an authentic original; (d) all signatures on each of the Reviewed Documents are genuine; and (e) the Company is and shall remain at all times a corporation duly incorporated, validly existing and in good standing under the laws of the State of Delaware. We have further assumed: (i) the legal capacity of all natural persons; (ii) that each party to the Reviewed Documents (A) is duly formed or incorporated, as applicable, organized, validity existing, and in good standing under the laws of its formation or incorporation, as applicable, (B) has the legal capacity, power, and authority to execute, deliver, and perform such party’s obligations under the Reviewed Documents to which it is a party, and (C) has taken all action necessary to duly authorize the execution and delivery of, and the performance of such party’s obligations under, the Reviewed Documents to which it is a party, and (D) has duly executed and delivered such Reviewed Documents; and (iii) each of the Reviewed Documents constitutes the legal, valid, and binding obligation of each party thereto, enforceable against each such party in accordance with its terms. We have not verified any of the foregoing assumptions.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our opinion set forth below, we also have assumed that: (i) the issuance of all Shares will be duly recorded in the Company’s stock ledger upon issuance; (ii) in accordance with Section 158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either (A) the Shares will be evidenced by certificates in such form as may be prescribed by law and the Board that has been duly executed and delivered, or (B) the Board will have adopted a resolution (that has not been rescinded or revoked) providing that all shares of Common Stock shall be uncertificated in accordance with Section 158 of the DGCL, and, within a reasonable time after the issuance or transfer of such uncertificated Share, the registered owner of such Share will be given notice in writing or by electronic transmission in compliance with Section 151(f) of the DGCL; (iii) none of the Investors or any of its “affiliates” and “associates” (in each case, within the meaning of Section 203(c) of the DGCL) is not, and has not been during the past three years, an “interested stockholder” (within the meaning of Section 203(c) of the DGCL) of the Company; and (iv) the Company will receive the consideration for the issuance of the Shares pursuant to the Purchase Agreement, which such consideration shall be at least equal to the par value of a share of Common Stock). We have not verified any of the foregoing assumptions.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opinion set forth below is limited to the DGCL and reported judicial decisions interpreting the DGCL. We express no opinion as to the laws, rules, or regulations of any other jurisdiction, including, without limitation, the federal laws of the United States of America or any state securities or blue sky laws. This opinion is expressed as of the date hereof, and we disclaim any undertaking to advise of any subsequent changes in the facts stated or assumed herein or any subsequent changes in law.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issuance of the Shares pursuant to and in accordance with the Purchase Agreement has been duly authorized and, when issued and delivered in accordance with the Purchase Agreement, the Shares will be validly issued, fully paid, and non-assessable.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Exhibit 5.1 to the Company’s Current Report on Form 8-K and to the reference to our firm under the caption “Legal Matters” in the Prospectus Supplement. In giving such consent, we do not thereby admit that we are experts with respect to any part of the Registration Statement or Prospectus Supplement within the meaning of the term “expert” as used in Section 11 of the Securities Act or the rules and regulations promulgated thereunder, nor do we admit that we are within the category of persons whose consent is required under Section 7 of the Securities Act or the rules and regulations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K&amp;L Gates LLP</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May 12, 2026</w:t>
      </w:r>
    </w:p>
    <w:p>
      <w:pPr>
        <w:spacing w:after="0" w:line="4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25" w:lineRule="exact"/>
        <w:rPr>
          <w:sz w:val="20"/>
          <w:szCs w:val="20"/>
          <w:color w:val="auto"/>
        </w:rPr>
      </w:pPr>
    </w:p>
    <w:p>
      <w:pPr>
        <w:jc w:val="both"/>
        <w:ind w:right="20" w:firstLine="1296"/>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SECURITIES PURCHASE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May 12, 2026, between ACM Research, Inc., 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severally and not jointly, the undersigned investors (each, an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Purchasers</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jc w:val="both"/>
        <w:ind w:right="4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and pursuant to an effective registration statement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(as defined below), the Company desires to issue and sell to the respective Investors, and each Investor, severally and not jointly, desires to purchase from the Company, Shares (as defined below) in the amounts and on the terms set forth in this Agreement.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THEREFORE</w:t>
      </w:r>
      <w:r>
        <w:rPr>
          <w:rFonts w:ascii="Times New Roman" w:cs="Times New Roman" w:eastAsia="Times New Roman" w:hAnsi="Times New Roman"/>
          <w:sz w:val="18"/>
          <w:szCs w:val="18"/>
          <w:color w:val="auto"/>
        </w:rPr>
        <w:t>, the Company and each Investor, severally and not jointly, agree as follows.</w:t>
      </w:r>
    </w:p>
    <w:p>
      <w:pPr>
        <w:spacing w:after="0" w:line="229"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2"/>
          <w:szCs w:val="12"/>
          <w:u w:val="single" w:color="auto"/>
          <w:color w:val="auto"/>
        </w:rPr>
        <w:t>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specified person. For the purposes of this Agreement, in no event shall the Investors or any of their Affiliates be deemed Affiliates of the Company or any of its Affiliates, nor shall the Company or any of its Affiliates be deemed Affiliates of the Investors or any of their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first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has the meaning set forth in Section 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set forth in Section 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Class A common stock, $0.0001 par value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first paragraph of this Agreement.</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SEC Filings</w:t>
      </w:r>
      <w:r>
        <w:rPr>
          <w:rFonts w:ascii="Times New Roman" w:cs="Times New Roman" w:eastAsia="Times New Roman" w:hAnsi="Times New Roman"/>
          <w:sz w:val="18"/>
          <w:szCs w:val="18"/>
          <w:color w:val="auto"/>
        </w:rPr>
        <w:t>” means each of the following documents, in the form they were filed with the SEC and including any amendments thereto filed with the SEC: (a) the Company’s Annual Report on Form 10-K for the fiscal year ended December 31, 2025; (b) those portions of the Company’s 2026 Proxy Statement on Schedule 14A that are incorporated by reference into the Company’s Annual Report on Form 10-K for the fiscal year ended December 31, 2025; and (c) all other reports filed or furnished by the Company with the SEC after December 31, 2025.</w:t>
      </w:r>
    </w:p>
    <w:p>
      <w:pPr>
        <w:spacing w:after="0" w:line="176"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 mortgage, charge, pledge, lien, hypothecation, trust, option, restriction, right of first refusal or first offer, right of pre-emption, third-party right or interest, other encumbrance or security interest of any kind (including, for the avoidance of doubt, rehypothecation rights of the pledgee), or another type of agreement or arrangement having similar effect.</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any other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Purchase Price</w:t>
      </w:r>
      <w:r>
        <w:rPr>
          <w:rFonts w:ascii="Times New Roman" w:cs="Times New Roman" w:eastAsia="Times New Roman" w:hAnsi="Times New Roman"/>
          <w:sz w:val="18"/>
          <w:szCs w:val="18"/>
          <w:color w:val="auto"/>
        </w:rPr>
        <w:t>” equals $52.00, subject to adjustment for reverse and forward share splits, share dividends, share combinations and other similar transactions of the Common Stock that occur after the date of this Agreement and prior to the Closing Date.</w:t>
      </w:r>
    </w:p>
    <w:p>
      <w:pPr>
        <w:spacing w:after="0" w:line="15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final base prospectus filed in connection with the Registration Statement, including all information, documents and exhibits filed with or incorporated by reference into such prospectus.</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including all information, documents and exhibits filed with or incorporated by reference into such prospectus supplement that is filed with the SEC and delivered by the Company to each Investor on or prior to the date hereof.</w:t>
      </w:r>
    </w:p>
    <w:p>
      <w:pPr>
        <w:spacing w:after="0" w:line="171" w:lineRule="exact"/>
        <w:rPr>
          <w:sz w:val="20"/>
          <w:szCs w:val="20"/>
          <w:color w:val="auto"/>
        </w:rPr>
      </w:pPr>
    </w:p>
    <w:p>
      <w:pPr>
        <w:jc w:val="both"/>
        <w:ind w:right="2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effective registration statement of the Company on Form S-3 filed with the SEC on March 18, 2024 (File No. 333-278041), which registers the sale of the Shares to the Investors, including all information, documents and exhibits filed with or incorporated by reference into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Time</w:t>
      </w:r>
      <w:r>
        <w:rPr>
          <w:rFonts w:ascii="Times New Roman" w:cs="Times New Roman" w:eastAsia="Times New Roman" w:hAnsi="Times New Roman"/>
          <w:sz w:val="18"/>
          <w:szCs w:val="18"/>
          <w:color w:val="auto"/>
        </w:rPr>
        <w:t>” has the meaning set forth in Section 7.</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424</w:t>
      </w:r>
      <w:r>
        <w:rPr>
          <w:rFonts w:ascii="Times New Roman" w:cs="Times New Roman" w:eastAsia="Times New Roman" w:hAnsi="Times New Roman"/>
          <w:sz w:val="18"/>
          <w:szCs w:val="18"/>
          <w:color w:val="auto"/>
        </w:rPr>
        <w:t>” means Rule 424 promulgated by the SEC pursuant to the Securities Act, as such Rule may be amended or interpreted from time to time, or any similar rule or regulation hereafter adopted by the SEC having substantially the same purpose and effect as such Rule.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shares of Common Stock issued or issuable to each Investor pursuant to this Agreement.</w:t>
      </w:r>
    </w:p>
    <w:p>
      <w:pPr>
        <w:spacing w:after="0" w:line="225" w:lineRule="exact"/>
        <w:rPr>
          <w:sz w:val="20"/>
          <w:szCs w:val="20"/>
          <w:color w:val="auto"/>
        </w:rPr>
      </w:pPr>
    </w:p>
    <w:p>
      <w:pPr>
        <w:ind w:right="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Subscription Amount</w:t>
      </w:r>
      <w:r>
        <w:rPr>
          <w:rFonts w:ascii="Times New Roman" w:cs="Times New Roman" w:eastAsia="Times New Roman" w:hAnsi="Times New Roman"/>
          <w:sz w:val="17"/>
          <w:szCs w:val="17"/>
          <w:color w:val="auto"/>
        </w:rPr>
        <w:t>” means, as to each Investor, the aggregate amount to be paid for Shares purchased hereunder as specified on the signature page hereto under such Investor’s name and under the heading “Subscription Amount,” in United States dollars and in immediately available funds.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without limitation, backup withholding and value-added tax), assessments, fees or other charges imposed by any Governmental Authority, irrespective of the manner in which they are collected or assessed, including any interest, additions to tax or penalties applicable thereto.</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current transfer agent of the Company, and any successor transfer agent of the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Rules of Construction.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pacing w:after="0" w:line="225" w:lineRule="exact"/>
        <w:rPr>
          <w:rFonts w:ascii="Times New Roman" w:cs="Times New Roman" w:eastAsia="Times New Roman" w:hAnsi="Times New Roman"/>
          <w:sz w:val="18"/>
          <w:szCs w:val="18"/>
          <w:color w:val="auto"/>
        </w:rPr>
      </w:pPr>
    </w:p>
    <w:p>
      <w:pPr>
        <w:ind w:right="620" w:firstLine="656"/>
        <w:spacing w:after="0" w:line="282" w:lineRule="auto"/>
        <w:tabs>
          <w:tab w:leader="none" w:pos="1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Agreement as a whole and not to any particular Section or other subdivision of this Agreement, unless the context requires otherwise;</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currency mean the lawful currency of the United States of America, unless the context requires otherwise; 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schedules and other attachments to this Agreement are deemed to form part of this Agreement.</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2"/>
          <w:szCs w:val="12"/>
          <w:u w:val="single" w:color="auto"/>
          <w:color w:val="auto"/>
        </w:rPr>
        <w:t>he</w:t>
      </w:r>
      <w:r>
        <w:rPr>
          <w:rFonts w:ascii="Times New Roman" w:cs="Times New Roman" w:eastAsia="Times New Roman" w:hAnsi="Times New Roman"/>
          <w:sz w:val="18"/>
          <w:szCs w:val="18"/>
          <w:u w:val="single" w:color="auto"/>
          <w:color w:val="auto"/>
        </w:rPr>
        <w:t xml:space="preserve"> P</w:t>
      </w:r>
      <w:r>
        <w:rPr>
          <w:rFonts w:ascii="Times New Roman" w:cs="Times New Roman" w:eastAsia="Times New Roman" w:hAnsi="Times New Roman"/>
          <w:sz w:val="12"/>
          <w:szCs w:val="12"/>
          <w:u w:val="single" w:color="auto"/>
          <w:color w:val="auto"/>
        </w:rPr>
        <w:t>urchase and</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2"/>
          <w:szCs w:val="12"/>
          <w:u w:val="single" w:color="auto"/>
          <w:color w:val="auto"/>
        </w:rPr>
        <w:t>ale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80" w:firstLine="656"/>
        <w:spacing w:after="0" w:line="267" w:lineRule="auto"/>
        <w:tabs>
          <w:tab w:leader="none" w:pos="12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the other terms of this Agreement, the Company agrees to issue and sell to the respective Investors,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severally and not jointly, agrees to purchase from the Company, as is set forth on such Investor’s signature page attached hereto, the Shares. The aggregate Subscription Amount of all Shares being purchased by all Investors hereunder shall equal $149,999,980.</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1300" w:hanging="66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Closing</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640" w:right="40" w:firstLine="644"/>
        <w:spacing w:after="0" w:line="262" w:lineRule="auto"/>
        <w:tabs>
          <w:tab w:leader="none" w:pos="18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Date and Location</w:t>
      </w:r>
      <w:r>
        <w:rPr>
          <w:rFonts w:ascii="Times New Roman" w:cs="Times New Roman" w:eastAsia="Times New Roman" w:hAnsi="Times New Roman"/>
          <w:sz w:val="18"/>
          <w:szCs w:val="18"/>
          <w:color w:val="auto"/>
        </w:rPr>
        <w:t>. The closing of the issuance and sale of the Shares pursuant to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take place remotely via the exchange of final documents and signature pages on such date as the Company and the Investors shall agree but no later than May 15, 2026, which may be extended as the Company and the Investors may agree;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the conditions to Closing set forth in Section 6 are satisfied or waived (the date on which the closing occurs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8" w:lineRule="exact"/>
        <w:rPr>
          <w:rFonts w:ascii="Times New Roman" w:cs="Times New Roman" w:eastAsia="Times New Roman" w:hAnsi="Times New Roman"/>
          <w:sz w:val="18"/>
          <w:szCs w:val="18"/>
          <w:color w:val="auto"/>
        </w:rPr>
      </w:pPr>
    </w:p>
    <w:p>
      <w:pPr>
        <w:ind w:left="1820" w:hanging="536"/>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Subscription Amount and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0" w:right="100" w:firstLine="490"/>
        <w:spacing w:after="0" w:line="290" w:lineRule="auto"/>
        <w:tabs>
          <w:tab w:leader="none" w:pos="2425"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Subscription Amount</w:t>
      </w:r>
      <w:r>
        <w:rPr>
          <w:rFonts w:ascii="Times New Roman" w:cs="Times New Roman" w:eastAsia="Times New Roman" w:hAnsi="Times New Roman"/>
          <w:sz w:val="17"/>
          <w:szCs w:val="17"/>
          <w:color w:val="auto"/>
        </w:rPr>
        <w:t>. Subject to satisfaction of the applicable conditions precedent specified in this Agreement, at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9:30 a.m., New York City time, on the Closing Date, each Investor, severally and not jointly, agrees to pay to the Company, by wire transfer to the following account of the Company, the Subscription Amount to be paid by such Investor pursuant to this Agreement:</w:t>
      </w:r>
    </w:p>
    <w:p>
      <w:pPr>
        <w:spacing w:after="0" w:line="157" w:lineRule="exact"/>
        <w:rPr>
          <w:sz w:val="20"/>
          <w:szCs w:val="20"/>
          <w:color w:val="auto"/>
        </w:rPr>
      </w:pPr>
    </w:p>
    <w:p>
      <w:pPr>
        <w:ind w:left="1740" w:hanging="456"/>
        <w:spacing w:after="0"/>
        <w:tabs>
          <w:tab w:leader="none" w:pos="1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Routing #:   081000210</w:t>
      </w:r>
    </w:p>
    <w:p>
      <w:pPr>
        <w:spacing w:after="0" w:line="27"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Code:USBKUS44</w:t>
      </w:r>
    </w:p>
    <w:p>
      <w:pPr>
        <w:spacing w:after="0" w:line="9" w:lineRule="exact"/>
        <w:rPr>
          <w:sz w:val="20"/>
          <w:szCs w:val="20"/>
          <w:color w:val="auto"/>
        </w:rPr>
      </w:pPr>
    </w:p>
    <w:p>
      <w:pPr>
        <w:ind w:left="1740"/>
        <w:spacing w:after="0"/>
        <w:tabs>
          <w:tab w:leader="none" w:pos="3120" w:val="left"/>
        </w:tabs>
        <w:rPr>
          <w:sz w:val="20"/>
          <w:szCs w:val="20"/>
          <w:color w:val="auto"/>
        </w:rPr>
      </w:pPr>
      <w:r>
        <w:rPr>
          <w:rFonts w:ascii="Times New Roman" w:cs="Times New Roman" w:eastAsia="Times New Roman" w:hAnsi="Times New Roman"/>
          <w:sz w:val="18"/>
          <w:szCs w:val="18"/>
          <w:color w:val="auto"/>
        </w:rPr>
        <w:t>Bank Address:</w:t>
      </w:r>
      <w:r>
        <w:rPr>
          <w:sz w:val="20"/>
          <w:szCs w:val="20"/>
          <w:color w:val="auto"/>
        </w:rPr>
        <w:tab/>
      </w:r>
      <w:r>
        <w:rPr>
          <w:rFonts w:ascii="Times New Roman" w:cs="Times New Roman" w:eastAsia="Times New Roman" w:hAnsi="Times New Roman"/>
          <w:sz w:val="18"/>
          <w:szCs w:val="18"/>
          <w:color w:val="auto"/>
        </w:rPr>
        <w:t>St. Louis, MO 63101</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Account Number: 152310861124</w:t>
      </w:r>
    </w:p>
    <w:p>
      <w:pPr>
        <w:spacing w:after="0" w:line="27" w:lineRule="exact"/>
        <w:rPr>
          <w:sz w:val="20"/>
          <w:szCs w:val="20"/>
          <w:color w:val="auto"/>
        </w:rPr>
      </w:pPr>
    </w:p>
    <w:p>
      <w:pPr>
        <w:ind w:left="1740"/>
        <w:spacing w:after="0"/>
        <w:tabs>
          <w:tab w:leader="none" w:pos="3120" w:val="left"/>
        </w:tabs>
        <w:rPr>
          <w:sz w:val="20"/>
          <w:szCs w:val="20"/>
          <w:color w:val="auto"/>
        </w:rPr>
      </w:pPr>
      <w:r>
        <w:rPr>
          <w:rFonts w:ascii="Times New Roman" w:cs="Times New Roman" w:eastAsia="Times New Roman" w:hAnsi="Times New Roman"/>
          <w:sz w:val="18"/>
          <w:szCs w:val="18"/>
          <w:color w:val="auto"/>
        </w:rPr>
        <w:t>Account Name:</w:t>
      </w:r>
      <w:r>
        <w:rPr>
          <w:sz w:val="20"/>
          <w:szCs w:val="20"/>
          <w:color w:val="auto"/>
        </w:rPr>
        <w:tab/>
      </w:r>
      <w:r>
        <w:rPr>
          <w:rFonts w:ascii="Times New Roman" w:cs="Times New Roman" w:eastAsia="Times New Roman" w:hAnsi="Times New Roman"/>
          <w:sz w:val="17"/>
          <w:szCs w:val="17"/>
          <w:color w:val="auto"/>
        </w:rPr>
        <w:t>Oppenheimer &amp; Co. Inc</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Wire instruction: For further credit to ACM Research Inc. Acct# G242023286</w:t>
      </w:r>
    </w:p>
    <w:p>
      <w:pPr>
        <w:sectPr>
          <w:pgSz w:w="11900" w:h="16838" w:orient="portrait"/>
          <w:cols w:equalWidth="0" w:num="1">
            <w:col w:w="11220"/>
          </w:cols>
          <w:pgMar w:left="340" w:top="119" w:right="339" w:bottom="1440" w:gutter="0" w:footer="0" w:header="0"/>
        </w:sectPr>
      </w:pPr>
    </w:p>
    <w:p>
      <w:pPr>
        <w:spacing w:after="0" w:line="225"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7"/>
          <w:szCs w:val="17"/>
          <w:color w:val="auto"/>
        </w:rPr>
        <w:t>Bank Routing #</w:t>
      </w:r>
    </w:p>
    <w:p>
      <w:pPr>
        <w:spacing w:after="0" w:line="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SWIFT Code:</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Bank 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121000358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BOFAUS3N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8001 Villa Park Drive, Henrico, VA 23228</w:t>
      </w:r>
    </w:p>
    <w:p>
      <w:pPr>
        <w:spacing w:after="0" w:line="211" w:lineRule="exact"/>
        <w:rPr>
          <w:sz w:val="20"/>
          <w:szCs w:val="20"/>
          <w:color w:val="auto"/>
        </w:rPr>
      </w:pPr>
    </w:p>
    <w:p>
      <w:pPr>
        <w:sectPr>
          <w:pgSz w:w="11900" w:h="16838" w:orient="portrait"/>
          <w:cols w:equalWidth="0" w:num="2">
            <w:col w:w="2880" w:space="260"/>
            <w:col w:w="8080"/>
          </w:cols>
          <w:pgMar w:left="340" w:top="119" w:right="339" w:bottom="1440" w:gutter="0" w:footer="0" w:header="0"/>
          <w:type w:val="continuous"/>
        </w:sectPr>
      </w:pPr>
    </w:p>
    <w:p>
      <w:pPr>
        <w:spacing w:after="0" w:line="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Account Number: 000663319327</w:t>
      </w:r>
    </w:p>
    <w:p>
      <w:pPr>
        <w:spacing w:after="0" w:line="27" w:lineRule="exact"/>
        <w:rPr>
          <w:sz w:val="20"/>
          <w:szCs w:val="20"/>
          <w:color w:val="auto"/>
        </w:rPr>
      </w:pPr>
    </w:p>
    <w:p>
      <w:pPr>
        <w:ind w:left="1740"/>
        <w:spacing w:after="0"/>
        <w:tabs>
          <w:tab w:leader="none" w:pos="3120" w:val="left"/>
        </w:tabs>
        <w:rPr>
          <w:sz w:val="20"/>
          <w:szCs w:val="20"/>
          <w:color w:val="auto"/>
        </w:rPr>
      </w:pPr>
      <w:r>
        <w:rPr>
          <w:rFonts w:ascii="Times New Roman" w:cs="Times New Roman" w:eastAsia="Times New Roman" w:hAnsi="Times New Roman"/>
          <w:sz w:val="18"/>
          <w:szCs w:val="18"/>
          <w:color w:val="auto"/>
        </w:rPr>
        <w:t>Account Name:</w:t>
        <w:tab/>
        <w:t>ACM Research Inc</w:t>
      </w:r>
    </w:p>
    <w:p>
      <w:pPr>
        <w:spacing w:after="0" w:line="205" w:lineRule="exact"/>
        <w:rPr>
          <w:sz w:val="20"/>
          <w:szCs w:val="20"/>
          <w:color w:val="auto"/>
        </w:rPr>
      </w:pPr>
    </w:p>
    <w:p>
      <w:pPr>
        <w:ind w:left="1280" w:right="160" w:firstLine="490"/>
        <w:spacing w:after="0" w:line="267" w:lineRule="auto"/>
        <w:tabs>
          <w:tab w:leader="none" w:pos="24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and Delivery of Shares</w:t>
      </w:r>
      <w:r>
        <w:rPr>
          <w:rFonts w:ascii="Times New Roman" w:cs="Times New Roman" w:eastAsia="Times New Roman" w:hAnsi="Times New Roman"/>
          <w:sz w:val="18"/>
          <w:szCs w:val="18"/>
          <w:color w:val="auto"/>
        </w:rPr>
        <w:t>. No Shares will be issued and delivered before the Subscription Amount therefore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in accordance with Section 2(b)(ii)(1). On the Closing Date, subject to satisfaction of the conditions precedent specified in this Agreement, the Company shall deliver to each Investor its respective Shares pursuant to this Agreement.</w:t>
      </w:r>
    </w:p>
    <w:p>
      <w:pPr>
        <w:spacing w:after="0" w:line="175"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2"/>
          <w:szCs w:val="12"/>
          <w:u w:val="single" w:color="auto"/>
          <w:color w:val="auto"/>
        </w:rPr>
        <w:t>epresentations</w:t>
      </w:r>
      <w:r>
        <w:rPr>
          <w:rFonts w:ascii="Times New Roman" w:cs="Times New Roman" w:eastAsia="Times New Roman" w:hAnsi="Times New Roman"/>
          <w:sz w:val="18"/>
          <w:szCs w:val="18"/>
          <w:u w:val="single" w:color="auto"/>
          <w:color w:val="auto"/>
        </w:rPr>
        <w:t>, W</w:t>
      </w:r>
      <w:r>
        <w:rPr>
          <w:rFonts w:ascii="Times New Roman" w:cs="Times New Roman" w:eastAsia="Times New Roman" w:hAnsi="Times New Roman"/>
          <w:sz w:val="12"/>
          <w:szCs w:val="12"/>
          <w:u w:val="single" w:color="auto"/>
          <w:color w:val="auto"/>
        </w:rPr>
        <w:t>arranties and</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2"/>
          <w:szCs w:val="12"/>
          <w:u w:val="single" w:color="auto"/>
          <w:color w:val="auto"/>
        </w:rPr>
        <w:t>ovenants of 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2"/>
          <w:szCs w:val="12"/>
          <w:u w:val="single" w:color="auto"/>
          <w:color w:val="auto"/>
        </w:rPr>
        <w:t>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represents and warrants to the Investors and covenants that:</w:t>
      </w:r>
    </w:p>
    <w:p>
      <w:pPr>
        <w:spacing w:after="0" w:line="223" w:lineRule="exact"/>
        <w:rPr>
          <w:sz w:val="20"/>
          <w:szCs w:val="20"/>
          <w:color w:val="auto"/>
        </w:rPr>
      </w:pPr>
    </w:p>
    <w:p>
      <w:pPr>
        <w:ind w:left="-20" w:firstLine="656"/>
        <w:spacing w:after="0" w:line="257" w:lineRule="auto"/>
        <w:tabs>
          <w:tab w:leader="none" w:pos="12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Formation, Valid Existence and Good Standing; Power to Perform Obligations. </w:t>
      </w:r>
      <w:r>
        <w:rPr>
          <w:rFonts w:ascii="Times New Roman" w:cs="Times New Roman" w:eastAsia="Times New Roman" w:hAnsi="Times New Roman"/>
          <w:sz w:val="18"/>
          <w:szCs w:val="18"/>
          <w:color w:val="auto"/>
        </w:rPr>
        <w:t>Each of the Company and its subsidiaries is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formed, validly existing and in good standing under the laws of its jurisdiction of organization, with full power and authority to conduct its business as it is currently being conducted and to own its assets. The Company has full power and authority to execute and deliver, and perform its obligations under, this Agreement. Except as would not, individually or in the aggregate, reasonably be expected to have a Material Adverse Effect (as defined below), the Company has been duly qualified as a foreign corporation for the transaction of business and is in good standing under the laws of each other jurisdiction in which it owns or leases properties, rights and assets or conducts any business so as to require such qualification.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type w:val="continuous"/>
        </w:sectPr>
      </w:pPr>
    </w:p>
    <w:bookmarkStart w:id="12" w:name="page13"/>
    <w:bookmarkEnd w:id="12"/>
    <w:p>
      <w:pPr>
        <w:ind w:left="-20" w:firstLine="656"/>
        <w:spacing w:after="0" w:line="252" w:lineRule="auto"/>
        <w:tabs>
          <w:tab w:leader="none" w:pos="12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will be duly and validly issued, fully paid and nonassessable, free and clear of all Liens and the issuance thereof is not subject to any pre-emptive or similar rights. The Company has prepared and filed the Registration Statement in conformity with the requirements of the Securities Act, which became effective on March 18, 2024,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as set forth in General Instruction I.B.1 of Form S-3. The Registration Statement is effective under the Securities Act and no stop order preventing or suspending the effectiveness of the Registration Statement or suspending or preventing the use of the Prospectus Supplement has been issued by the SEC and no proceedings for that purpose have been instituted or, to the knowledge of the Company, are threatened by the SEC. The Company, if required by the rules and regulations of the SEC, shall file the Prospectus Supplement with the SEC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the Prospectus Supplement and any amendments or supplements thereto, at the time the Prospectus,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94" w:lineRule="exact"/>
        <w:rPr>
          <w:rFonts w:ascii="Times New Roman" w:cs="Times New Roman" w:eastAsia="Times New Roman" w:hAnsi="Times New Roman"/>
          <w:sz w:val="18"/>
          <w:szCs w:val="18"/>
          <w:color w:val="auto"/>
        </w:rPr>
      </w:pPr>
    </w:p>
    <w:p>
      <w:pPr>
        <w:ind w:left="-20" w:right="40" w:firstLine="656"/>
        <w:spacing w:after="0" w:line="254" w:lineRule="auto"/>
        <w:tabs>
          <w:tab w:leader="none" w:pos="12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and Liabilities. </w:t>
      </w:r>
      <w:r>
        <w:rPr>
          <w:rFonts w:ascii="Times New Roman" w:cs="Times New Roman" w:eastAsia="Times New Roman" w:hAnsi="Times New Roman"/>
          <w:sz w:val="18"/>
          <w:szCs w:val="18"/>
          <w:color w:val="auto"/>
        </w:rPr>
        <w:t>Neither the Company nor any of its subsidiaries is a party to any, and there are no pending,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threatened in writing, legal, administrative, arbitral or other proceedings, claims, actions or governmental investigations of any nature against the Company or any of its subsidiaries (x) that, individually or in the aggregate, have had or would reasonably be expected to have a material adverse effect on the business, properties, management, financial position, stockholders’ equity or results of operations of the Company and its subsidiaries taken as a whole or on the performance by the Company of its obligations under this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or (y) that challenge the validity of this Agreement or the Shares or seek to prevent the consummation of the transactions contemplated herein or therein. Neither the Company nor any of its subsidiaries is subject to any order, judgment or decree of a Governmental Authority that, individually or in the aggregate, has had or would reasonably be expected to have a Material Adverse Effect. There is no investigation or review pending or, to the knowledge of the Company, threatened in writing by any Governmental Authority with respect to the Company or any of its subsidiaries that would reasonably be expected to have a Material Adverse Effect.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sectPr>
      </w:pPr>
    </w:p>
    <w:bookmarkStart w:id="13" w:name="page14"/>
    <w:bookmarkEnd w:id="13"/>
    <w:p>
      <w:pPr>
        <w:jc w:val="both"/>
        <w:ind w:firstLine="656"/>
        <w:spacing w:after="0" w:line="261" w:lineRule="auto"/>
        <w:tabs>
          <w:tab w:leader="none" w:pos="13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Applicable Law. </w:t>
      </w:r>
      <w:r>
        <w:rPr>
          <w:rFonts w:ascii="Times New Roman" w:cs="Times New Roman" w:eastAsia="Times New Roman" w:hAnsi="Times New Roman"/>
          <w:sz w:val="18"/>
          <w:szCs w:val="18"/>
          <w:color w:val="auto"/>
        </w:rPr>
        <w:t>Each of the Company and its subsidiaries has complied with, and is not in default or violation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all laws, rules, regulations, judgments, orders, injunctions, decrees and rulings applicable to the Company and such subsidiary, other than such non-compliance, defaults or violations that, individually or in the aggregate, have not had and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656"/>
        <w:spacing w:after="0" w:line="258" w:lineRule="auto"/>
        <w:tabs>
          <w:tab w:leader="none" w:pos="12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Taxes. </w:t>
      </w:r>
      <w:r>
        <w:rPr>
          <w:rFonts w:ascii="Times New Roman" w:cs="Times New Roman" w:eastAsia="Times New Roman" w:hAnsi="Times New Roman"/>
          <w:sz w:val="18"/>
          <w:szCs w:val="18"/>
          <w:color w:val="auto"/>
        </w:rPr>
        <w:t>Except as would not, individually or in the aggregate, reasonably be expected to have a Material Adverse Effect: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its subsidiaries have filed all non-U.S., federal, state and other tax returns and reports required to be filed (taking into account any extensions), (ii) the Company and its subsidiaries have paid all Taxes, except in each case with respect to matters contested in good faith or for which reserves have been established to the extent required by GAAP, and (iii) there is no proposed tax assessment against the Company or any subsidiary for which reserves have not been established to the extent required by GAAP.</w:t>
      </w:r>
    </w:p>
    <w:p>
      <w:pPr>
        <w:spacing w:after="0" w:line="183" w:lineRule="exact"/>
        <w:rPr>
          <w:rFonts w:ascii="Times New Roman" w:cs="Times New Roman" w:eastAsia="Times New Roman" w:hAnsi="Times New Roman"/>
          <w:sz w:val="18"/>
          <w:szCs w:val="18"/>
          <w:color w:val="auto"/>
        </w:rPr>
      </w:pPr>
    </w:p>
    <w:p>
      <w:pPr>
        <w:ind w:right="100" w:firstLine="656"/>
        <w:spacing w:after="0" w:line="253" w:lineRule="auto"/>
        <w:tabs>
          <w:tab w:leader="none" w:pos="13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Corrupt Practices Act. </w:t>
      </w:r>
      <w:r>
        <w:rPr>
          <w:rFonts w:ascii="Times New Roman" w:cs="Times New Roman" w:eastAsia="Times New Roman" w:hAnsi="Times New Roman"/>
          <w:sz w:val="18"/>
          <w:szCs w:val="18"/>
          <w:color w:val="auto"/>
        </w:rPr>
        <w:t>The Company and its subsidiaries, and, to the Company’s knowledge, their respective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managers, employees, representatives and agents, to the extent that any of them have been acting on behalf of the Company or one of its subsidiaries, have not, directly or indirectly, made, offered, promised or authorized any payment or gift of any money or anything of value to or for the benefit of any governmental official, in each case, in violation of the Foreign Corrupt Practices Act, or any other applicable anti-bribery or anti-corruption law. The Company and its subsidiaries, and, to the Company’s knowledge, their respective directors, officers, managers, employees, representatives and agents, to the extent that any of them have been acting on behalf of the Company or one of its subsidiaries, have not made or authorized any unlawful bribe, rebate, payoff, influence payment, kickback or other unlawful payment of funds or received or retained any funds in material violation of any law, rule or regulation. The Company further represents that it maintains in effect policies reasonably designed to promote compliance by the Company and its subsidiaries and its and their respective directors, officers, employees and agents with the Foreign Corrupt Practices Act, and any other applicable anti-bribery or anti-corruption law. None of the Company or its subsidiaries, nor, to the Company’s knowledge, any of their respective directors, officers, managers, employees, representatives or agents, to the extent that any of them have been acting on behalf of the Company or one of its subsidiaries, is the subject of any allegation, voluntary disclosure, investigation, prosecution or other enforcement action related to the Foreign Corrupt Practices Act, or any other applicable anti-bribery or anti-corruption law.</w:t>
      </w:r>
    </w:p>
    <w:p>
      <w:pPr>
        <w:spacing w:after="0" w:line="187" w:lineRule="exact"/>
        <w:rPr>
          <w:rFonts w:ascii="Times New Roman" w:cs="Times New Roman" w:eastAsia="Times New Roman" w:hAnsi="Times New Roman"/>
          <w:sz w:val="18"/>
          <w:szCs w:val="18"/>
          <w:color w:val="auto"/>
        </w:rPr>
      </w:pPr>
    </w:p>
    <w:p>
      <w:pPr>
        <w:ind w:right="60" w:firstLine="656"/>
        <w:spacing w:after="0" w:line="256" w:lineRule="auto"/>
        <w:tabs>
          <w:tab w:leader="none" w:pos="13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Money Laundering Laws. </w:t>
      </w:r>
      <w:r>
        <w:rPr>
          <w:rFonts w:ascii="Times New Roman" w:cs="Times New Roman" w:eastAsia="Times New Roman" w:hAnsi="Times New Roman"/>
          <w:sz w:val="18"/>
          <w:szCs w:val="18"/>
          <w:color w:val="auto"/>
        </w:rPr>
        <w:t>The operations of the Company and its subsidiaries are and have been conducted at all times in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of the Currency and Foreign Transactions Reporting Act of 1970, as amended, and the Bank Secrecy Act, as amended by Title III of the Uniting and Strengthening America by Providing Appropriate Tools Required to Intercept and Obstruct Terrorism Act of 2001 (Title III of Pub. L. 107-56 (signed into law on October 26, 2001)), applicable money laundering statutes and applicable rules and regulations thereunder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ind w:right="40" w:firstLine="656"/>
        <w:spacing w:after="0" w:line="253" w:lineRule="auto"/>
        <w:tabs>
          <w:tab w:leader="none" w:pos="13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Sanctions. </w:t>
      </w:r>
      <w:r>
        <w:rPr>
          <w:rFonts w:ascii="Times New Roman" w:cs="Times New Roman" w:eastAsia="Times New Roman" w:hAnsi="Times New Roman"/>
          <w:sz w:val="18"/>
          <w:szCs w:val="18"/>
          <w:color w:val="auto"/>
        </w:rPr>
        <w:t>None of the Company or any of its subsidiaries or any of its directors, officers or, to the knowledge of the Company, agents,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or affiliates of the Company or any of its subsidiaries, or any other person associated with or acting on behalf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currently the subject or the target of any sanctions imposed, administered or enforced by the U.S. government (including, without limitation, the U.S. Department of State and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the European Union or any of its member states, the United Kingdom (including, without limitation, His Majesty’s Treasury) or other sanctions authority to whose jurisdiction the Company, or any of its subsidiaries is subject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including by virtue of being (A) identified on any Sanctions-related list of designated Persons or vessels (including, without limitation, the list of Specially Designated Nationals and Blocked Persons maintained by OFAC), (B) organized, domiciled or resident in (1) Belarus or Russia, or (2) a country or territory that is the subject of Sanctions broadly prohibiting dealings in, with or involving such country or territory (as of the date hereof, Cuba, Iran, North Korea, Syria, the Crimea region of Ukraine, the so-called Donetsk People’s Republic, the so-called Luhansk People’s Republic, Kherson and Zaporizhzhia) (together with Belarus and Russia, each, a “</w:t>
      </w:r>
      <w:r>
        <w:rPr>
          <w:rFonts w:ascii="Times New Roman" w:cs="Times New Roman" w:eastAsia="Times New Roman" w:hAnsi="Times New Roman"/>
          <w:sz w:val="18"/>
          <w:szCs w:val="18"/>
          <w:b w:val="1"/>
          <w:bCs w:val="1"/>
          <w:color w:val="auto"/>
        </w:rPr>
        <w:t>Sanctioned Jurisdiction</w:t>
      </w:r>
      <w:r>
        <w:rPr>
          <w:rFonts w:ascii="Times New Roman" w:cs="Times New Roman" w:eastAsia="Times New Roman" w:hAnsi="Times New Roman"/>
          <w:sz w:val="18"/>
          <w:szCs w:val="18"/>
          <w:color w:val="auto"/>
        </w:rPr>
        <w:t>”), or (C) being owned or controlled by any Person described in the foregoing sub-clause (A) or (B) (any such Person that is the subject or target of Sanctions, a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20" w:firstLine="656"/>
        <w:spacing w:after="0" w:line="271" w:lineRule="auto"/>
        <w:tabs>
          <w:tab w:leader="none" w:pos="126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Use of Proceeds. </w:t>
      </w:r>
      <w:r>
        <w:rPr>
          <w:rFonts w:ascii="Times New Roman" w:cs="Times New Roman" w:eastAsia="Times New Roman" w:hAnsi="Times New Roman"/>
          <w:sz w:val="17"/>
          <w:szCs w:val="17"/>
          <w:color w:val="auto"/>
        </w:rPr>
        <w:t>The Company will not, directly or indirectly, use any part of the proceeds of the sale of the Shares hereunder, or lend,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contribute or otherwise make available such proceeds to any subsidiary, joint venture partner or other Person, (A) to fund or facilitate any activities of or business with or involving any Person that, at the time of such funding or facilitation, is a Sanctioned Person, (B) to fund or facilitate any activities of or business with, in or involving any country or territory that is, at the time of such funding or facilitation, a Sanctioned Jurisdiction, or (C) in any other manner that would constitute or give rise to a violation of Sanctions by any Person (including any Person participating in the issuance and sale of the Shares hereunder). Neither the Company nor any of its subsidiaries has engaged, during the past three years, or is engaged currently, in any dealings or transactions with, involving or for the benefit of any Person, or in, with or involving any country or territory, that, at the time of such dealing or transaction, was or is a Sanctioned Person or a Sanctioned Jurisdiction, or otherwise in violation of any applicable Sanctions. The Company will not, directly or indirectly, use any part of the proceeds of the sale of the Shares to fund any “covered foreign person” as that term is defined in 31 C.F.R. § 850.209.</w:t>
      </w:r>
    </w:p>
    <w:p>
      <w:pPr>
        <w:spacing w:after="0" w:line="173" w:lineRule="exact"/>
        <w:rPr>
          <w:rFonts w:ascii="Times New Roman" w:cs="Times New Roman" w:eastAsia="Times New Roman" w:hAnsi="Times New Roman"/>
          <w:sz w:val="17"/>
          <w:szCs w:val="17"/>
          <w:color w:val="auto"/>
        </w:rPr>
      </w:pPr>
    </w:p>
    <w:p>
      <w:pPr>
        <w:ind w:left="1320" w:hanging="66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Outbound Investment Security Program</w:t>
      </w:r>
      <w:r>
        <w:rPr>
          <w:rFonts w:ascii="Times New Roman" w:cs="Times New Roman" w:eastAsia="Times New Roman" w:hAnsi="Times New Roman"/>
          <w:sz w:val="18"/>
          <w:szCs w:val="18"/>
          <w:color w:val="auto"/>
        </w:rPr>
        <w:t>. The acquisition of the Shares is an “excepted transaction” as that term is defined in 31 C.F.R. §</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850.501.</w:t>
      </w:r>
    </w:p>
    <w:p>
      <w:pPr>
        <w:spacing w:after="0" w:line="204" w:lineRule="exact"/>
        <w:rPr>
          <w:rFonts w:ascii="Times New Roman" w:cs="Times New Roman" w:eastAsia="Times New Roman" w:hAnsi="Times New Roman"/>
          <w:sz w:val="18"/>
          <w:szCs w:val="18"/>
          <w:color w:val="auto"/>
        </w:rPr>
      </w:pPr>
    </w:p>
    <w:p>
      <w:pPr>
        <w:ind w:right="200" w:firstLine="656"/>
        <w:spacing w:after="0" w:line="261" w:lineRule="auto"/>
        <w:tabs>
          <w:tab w:leader="none" w:pos="1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 and Maintenance Requirements. </w:t>
      </w:r>
      <w:r>
        <w:rPr>
          <w:rFonts w:ascii="Times New Roman" w:cs="Times New Roman" w:eastAsia="Times New Roman" w:hAnsi="Times New Roman"/>
          <w:sz w:val="18"/>
          <w:szCs w:val="18"/>
          <w:color w:val="auto"/>
        </w:rPr>
        <w:t>The Common Stock is registered pursuant to Section 12(b) of the Exchange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taken no action designed to terminate the registration of the Common Stock under the Exchange Act nor has the Company received any notification that the SEC is contemplating terminating such registration. The Company is in compliance in with the listing and maintenance requirements for continued trading of the Common Stock on the Nasdaq Global Market.</w:t>
      </w:r>
    </w:p>
    <w:p>
      <w:pPr>
        <w:spacing w:after="0" w:line="179" w:lineRule="exact"/>
        <w:rPr>
          <w:rFonts w:ascii="Times New Roman" w:cs="Times New Roman" w:eastAsia="Times New Roman" w:hAnsi="Times New Roman"/>
          <w:sz w:val="18"/>
          <w:szCs w:val="18"/>
          <w:color w:val="auto"/>
        </w:rPr>
      </w:pPr>
    </w:p>
    <w:p>
      <w:pPr>
        <w:ind w:firstLine="656"/>
        <w:spacing w:after="0" w:line="267" w:lineRule="auto"/>
        <w:tabs>
          <w:tab w:leader="none" w:pos="13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 of Shares. </w:t>
      </w:r>
      <w:r>
        <w:rPr>
          <w:rFonts w:ascii="Times New Roman" w:cs="Times New Roman" w:eastAsia="Times New Roman" w:hAnsi="Times New Roman"/>
          <w:sz w:val="18"/>
          <w:szCs w:val="18"/>
          <w:color w:val="auto"/>
        </w:rPr>
        <w:t>Prior to the Closing, the Company will have submitted to the Nasdaq Stock Market an Application for Listing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Shares with respect to the Shares and will have caused such Shares to be approved for such listing, subject only to the official notice of issuance. The Company will maintain the listing of the Shares on the Nasdaq Global Market for so long as the Common Stock is then so listed.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ind w:left="-20" w:right="240" w:firstLine="656"/>
        <w:spacing w:after="0" w:line="267" w:lineRule="auto"/>
        <w:tabs>
          <w:tab w:leader="none" w:pos="12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Eligibility. </w:t>
      </w:r>
      <w:r>
        <w:rPr>
          <w:rFonts w:ascii="Times New Roman" w:cs="Times New Roman" w:eastAsia="Times New Roman" w:hAnsi="Times New Roman"/>
          <w:sz w:val="18"/>
          <w:szCs w:val="18"/>
          <w:color w:val="auto"/>
        </w:rPr>
        <w:t>The Company agrees to maintain the eligibility of the Shares for electronic transfer through the Depository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another established clearing corporation, including, without limitation, by timely payment of fees to the Depository Trust Company or such other established clearing corporation in connection with such electronic transfer.</w:t>
      </w:r>
    </w:p>
    <w:p>
      <w:pPr>
        <w:spacing w:after="0" w:line="173" w:lineRule="exact"/>
        <w:rPr>
          <w:rFonts w:ascii="Times New Roman" w:cs="Times New Roman" w:eastAsia="Times New Roman" w:hAnsi="Times New Roman"/>
          <w:sz w:val="18"/>
          <w:szCs w:val="18"/>
          <w:color w:val="auto"/>
        </w:rPr>
      </w:pPr>
    </w:p>
    <w:p>
      <w:pPr>
        <w:ind w:left="-20" w:firstLine="656"/>
        <w:spacing w:after="0" w:line="252" w:lineRule="auto"/>
        <w:tabs>
          <w:tab w:leader="none" w:pos="12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Sarbanes-Oxley; Internal Accounting Controls. </w:t>
      </w:r>
      <w:r>
        <w:rPr>
          <w:rFonts w:ascii="Times New Roman" w:cs="Times New Roman" w:eastAsia="Times New Roman" w:hAnsi="Times New Roman"/>
          <w:sz w:val="18"/>
          <w:szCs w:val="18"/>
          <w:color w:val="auto"/>
        </w:rPr>
        <w:t>The Company and its subsidiaries are in compliance in all material respects with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applicable requirements of the Sarbanes-Oxley Act of 2002 that are effective as of the date hereof, and any and all applicable rules and regulations promulgated by the SEC thereunder that are effective as of the date hereof and as of the Closing Date. The Company and its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its subsidiaries have established disclosure controls and procedures (as defined in Exchange Act Rules 13a-15(e) and 15d-15(e)) for the Company and its subsidiaries and designed such disclosure controls and procedures to ensure that information required to be disclosed by the Company in the reports it files or submits under the Exchange Act is recorded, processed, summarized and reported, within the time periods specified in the SEC’s rules and forms. The Company’s certifying officers have evaluated the effectiveness of the disclosure controls and procedures of the Company and its subsidiaries as of the end of the period covered by the most recently filed periodic report under the Exchange Act (such date, the “</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4" w:lineRule="exact"/>
        <w:rPr>
          <w:rFonts w:ascii="Times New Roman" w:cs="Times New Roman" w:eastAsia="Times New Roman" w:hAnsi="Times New Roman"/>
          <w:sz w:val="18"/>
          <w:szCs w:val="18"/>
          <w:color w:val="auto"/>
        </w:rPr>
      </w:pPr>
    </w:p>
    <w:p>
      <w:pPr>
        <w:ind w:left="-20" w:right="60" w:firstLine="656"/>
        <w:spacing w:after="0" w:line="257" w:lineRule="auto"/>
        <w:tabs>
          <w:tab w:leader="none" w:pos="12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Regulation M Compliance</w:t>
      </w:r>
      <w:r>
        <w:rPr>
          <w:rFonts w:ascii="Times New Roman" w:cs="Times New Roman" w:eastAsia="Times New Roman" w:hAnsi="Times New Roman"/>
          <w:sz w:val="18"/>
          <w:szCs w:val="18"/>
          <w:color w:val="auto"/>
        </w:rPr>
        <w:t>. The Company has not, and to its knowledge no one acting on its behalf has, taken, directly or indirectly,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designed to or that might reasonably be expected to cause or result in stabilization or manipulation of the price of the Common Stock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Common Stock, whether to facilitate the sale or resale of the Shares or otherwise, and has taken no action which would directly or indirectly violate Regulation M. The Company will not take, directly or indirectly, any action designed to or that might reasonably be expected to cause or result in stabilization or manipulation of the price of the Common Stock to facilitate the sale or resale of the Shares.</w:t>
      </w:r>
    </w:p>
    <w:p>
      <w:pPr>
        <w:spacing w:after="0" w:line="182" w:lineRule="exact"/>
        <w:rPr>
          <w:rFonts w:ascii="Times New Roman" w:cs="Times New Roman" w:eastAsia="Times New Roman" w:hAnsi="Times New Roman"/>
          <w:sz w:val="18"/>
          <w:szCs w:val="18"/>
          <w:color w:val="auto"/>
        </w:rPr>
      </w:pPr>
    </w:p>
    <w:p>
      <w:pPr>
        <w:ind w:left="-20" w:right="160" w:firstLine="656"/>
        <w:spacing w:after="0" w:line="258" w:lineRule="auto"/>
        <w:tabs>
          <w:tab w:leader="none" w:pos="12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Integrated Offering. </w:t>
      </w:r>
      <w:r>
        <w:rPr>
          <w:rFonts w:ascii="Times New Roman" w:cs="Times New Roman" w:eastAsia="Times New Roman" w:hAnsi="Times New Roman"/>
          <w:sz w:val="18"/>
          <w:szCs w:val="18"/>
          <w:color w:val="auto"/>
        </w:rPr>
        <w:t>Assuming the accuracy of the Purchasers’ representations and warranties set forth in Section 4,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r>
        <w:rPr>
          <w:rFonts w:ascii="Times New Roman" w:cs="Times New Roman" w:eastAsia="Times New Roman" w:hAnsi="Times New Roman"/>
          <w:sz w:val="18"/>
          <w:szCs w:val="18"/>
          <w:i w:val="1"/>
          <w:iCs w:val="1"/>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9" w:right="359" w:bottom="1440" w:gutter="0" w:footer="0" w:header="0"/>
        </w:sectPr>
      </w:pPr>
    </w:p>
    <w:bookmarkStart w:id="16" w:name="page17"/>
    <w:bookmarkEnd w:id="16"/>
    <w:p>
      <w:pPr>
        <w:ind w:left="1320" w:hanging="68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color w:val="auto"/>
        </w:rPr>
      </w:pPr>
    </w:p>
    <w:p>
      <w:pPr>
        <w:jc w:val="both"/>
        <w:ind w:left="-20" w:right="40" w:firstLine="656"/>
        <w:spacing w:after="0" w:line="261" w:lineRule="auto"/>
        <w:tabs>
          <w:tab w:leader="none" w:pos="1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No Person has any right to cause the Company or any of its subsidiaries to effect the registration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any securities of the Company or any of its subsidiaries. The offering or sale of the Shares as contemplated by this Agreement does not and will not give rise to any rights for or relating to the registration of any shares of Common Stock or other securities of the Company that have not been validly waived.</w:t>
      </w:r>
    </w:p>
    <w:p>
      <w:pPr>
        <w:spacing w:after="0" w:line="179" w:lineRule="exact"/>
        <w:rPr>
          <w:rFonts w:ascii="Times New Roman" w:cs="Times New Roman" w:eastAsia="Times New Roman" w:hAnsi="Times New Roman"/>
          <w:sz w:val="18"/>
          <w:szCs w:val="18"/>
          <w:color w:val="auto"/>
        </w:rPr>
      </w:pPr>
    </w:p>
    <w:p>
      <w:pPr>
        <w:ind w:left="-20" w:firstLine="656"/>
        <w:spacing w:after="0" w:line="254" w:lineRule="auto"/>
        <w:tabs>
          <w:tab w:leader="none" w:pos="12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Non-Contravention. </w:t>
      </w:r>
      <w:r>
        <w:rPr>
          <w:rFonts w:ascii="Times New Roman" w:cs="Times New Roman" w:eastAsia="Times New Roman" w:hAnsi="Times New Roman"/>
          <w:sz w:val="18"/>
          <w:szCs w:val="18"/>
          <w:color w:val="auto"/>
        </w:rPr>
        <w:t>The execution and delivery by the Company of, and the performance by the Company of its obligations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consummation by the Company of the other transactions contemplated hereby and thereby, does not and will not (i) contravene any permit, government license, law, rule or regulation applicable to or binding on, or any judgment, order, decree, injunction or ruling of any court or arbitrator or governmental or regulatory authority applicable to, the Company or any of its subsidiaries (including the rules of the Nasdaq Global Market and the Shanghai Stock Exchange); (ii) constitute a breach or violation or result in a default under, or result in the termination of or accelerate the performance required by, or result in a right of termination or acceleration under, any loan agreement, mortgage, lease or other agreement or instrument to which the Company or any of its subsidiaries is a party or by which any of them is bound; or (iii) constitute a breach or violation or result in a default under the organizational documents of the Company or any of its subsidiaries, except, in the case of clauses (i) and (ii) above, for such contraventions, conflicts, violations or defaults that would not, individually or in the aggregate,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ind w:left="-20" w:right="340" w:firstLine="656"/>
        <w:spacing w:after="0" w:line="267" w:lineRule="auto"/>
        <w:tabs>
          <w:tab w:leader="none" w:pos="12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w:t>
      </w:r>
      <w:r>
        <w:rPr>
          <w:rFonts w:ascii="Times New Roman" w:cs="Times New Roman" w:eastAsia="Times New Roman" w:hAnsi="Times New Roman"/>
          <w:sz w:val="18"/>
          <w:szCs w:val="18"/>
          <w:color w:val="auto"/>
        </w:rPr>
        <w:t>No consent, approval, authorization, order, license, registration or qualification of or with any court or governmental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authority is required for the execution and delivery by the Company of, and the performance by the Company of its obligations under this Agreement and the consummation by the Company of the transactions contemplated hereby and thereby.</w:t>
      </w:r>
    </w:p>
    <w:p>
      <w:pPr>
        <w:spacing w:after="0" w:line="173" w:lineRule="exact"/>
        <w:rPr>
          <w:rFonts w:ascii="Times New Roman" w:cs="Times New Roman" w:eastAsia="Times New Roman" w:hAnsi="Times New Roman"/>
          <w:sz w:val="18"/>
          <w:szCs w:val="18"/>
          <w:color w:val="auto"/>
        </w:rPr>
      </w:pPr>
    </w:p>
    <w:p>
      <w:pPr>
        <w:ind w:left="-20" w:right="140" w:firstLine="656"/>
        <w:spacing w:after="0" w:line="256" w:lineRule="auto"/>
        <w:tabs>
          <w:tab w:leader="none" w:pos="12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 of Takeover Protections</w:t>
      </w:r>
      <w:r>
        <w:rPr>
          <w:rFonts w:ascii="Times New Roman" w:cs="Times New Roman" w:eastAsia="Times New Roman" w:hAnsi="Times New Roman"/>
          <w:sz w:val="18"/>
          <w:szCs w:val="18"/>
          <w:color w:val="auto"/>
        </w:rPr>
        <w:t>. The Company and the Board have taken all necessary action, if any, in order to render inapplicable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control share acquisition, business combination, poison pill (including any distribution under a rights agreement) or other similar anti-takeover provision under the Company’s organizational documents or the laws of its state of incorporation that is or could reasonably be expected to become applicable to any of the Investors as a result of the Investors and the Company fulfilling their obligations or exercising their rights under this Agreement, including, without limitation, the Company’s issuance of the Shares and the Investors’ ownership of the Shares. No claim will be made or enforced by the Company or, with the consent of the Company, any other Person, that any Investor is an “acquiring person” under any such provision, by virtue of receiving Shares under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sectPr>
      </w:pPr>
    </w:p>
    <w:bookmarkStart w:id="17" w:name="page18"/>
    <w:bookmarkEnd w:id="17"/>
    <w:p>
      <w:pPr>
        <w:ind w:left="-20" w:firstLine="656"/>
        <w:spacing w:after="0" w:line="256" w:lineRule="auto"/>
        <w:tabs>
          <w:tab w:leader="none" w:pos="13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Execution and Delivery of this Agreement</w:t>
      </w:r>
      <w:r>
        <w:rPr>
          <w:rFonts w:ascii="Times New Roman" w:cs="Times New Roman" w:eastAsia="Times New Roman" w:hAnsi="Times New Roman"/>
          <w:sz w:val="18"/>
          <w:szCs w:val="18"/>
          <w:color w:val="auto"/>
        </w:rPr>
        <w:t>. The execution, delivery and performance of this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contemplated hereby and thereby, have been duly authorized by the Board and all other necessary corporate action on the part of the Company. Assuming this Agreement constitutes the valid and binding obligation of the Investors, this Agreement is a valid and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60" w:firstLine="656"/>
        <w:spacing w:after="0" w:line="267" w:lineRule="auto"/>
        <w:tabs>
          <w:tab w:leader="none" w:pos="12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The Company is not and, after giving effect to the transactions contemplated by this Agreement,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register as an “investment company” within the meaning of the Investment Company Act of 1940, as amended, and the rules and regulations of the SEC thereunder.</w:t>
      </w:r>
    </w:p>
    <w:p>
      <w:pPr>
        <w:spacing w:after="0" w:line="173" w:lineRule="exact"/>
        <w:rPr>
          <w:rFonts w:ascii="Times New Roman" w:cs="Times New Roman" w:eastAsia="Times New Roman" w:hAnsi="Times New Roman"/>
          <w:sz w:val="18"/>
          <w:szCs w:val="18"/>
          <w:color w:val="auto"/>
        </w:rPr>
      </w:pPr>
    </w:p>
    <w:p>
      <w:pPr>
        <w:ind w:left="-20" w:right="120" w:firstLine="656"/>
        <w:spacing w:after="0" w:line="267" w:lineRule="auto"/>
        <w:tabs>
          <w:tab w:leader="none" w:pos="12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and Finders. </w:t>
      </w:r>
      <w:r>
        <w:rPr>
          <w:rFonts w:ascii="Times New Roman" w:cs="Times New Roman" w:eastAsia="Times New Roman" w:hAnsi="Times New Roman"/>
          <w:sz w:val="18"/>
          <w:szCs w:val="18"/>
          <w:color w:val="auto"/>
        </w:rPr>
        <w:t>The Company has not retained, utilized or been represented by, or otherwise become obligated to, any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agent, financial advisor or finder in connection with the transactions contemplated by this Agreement whose fees any of the Investors would be required to pay.</w:t>
      </w:r>
    </w:p>
    <w:p>
      <w:pPr>
        <w:spacing w:after="0" w:line="173" w:lineRule="exact"/>
        <w:rPr>
          <w:rFonts w:ascii="Times New Roman" w:cs="Times New Roman" w:eastAsia="Times New Roman" w:hAnsi="Times New Roman"/>
          <w:sz w:val="18"/>
          <w:szCs w:val="18"/>
          <w:color w:val="auto"/>
        </w:rPr>
      </w:pPr>
    </w:p>
    <w:p>
      <w:pPr>
        <w:ind w:left="-20" w:right="20" w:firstLine="656"/>
        <w:spacing w:after="0" w:line="258" w:lineRule="auto"/>
        <w:tabs>
          <w:tab w:leader="none" w:pos="12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Equal Treatment of Investors</w:t>
      </w:r>
      <w:r>
        <w:rPr>
          <w:rFonts w:ascii="Times New Roman" w:cs="Times New Roman" w:eastAsia="Times New Roman" w:hAnsi="Times New Roman"/>
          <w:sz w:val="18"/>
          <w:szCs w:val="18"/>
          <w:color w:val="auto"/>
        </w:rPr>
        <w:t>. No consideration (including any modification of this Agreement) shall be offered or paid to any person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consent to a waiver or modification of any provision of this Agreement unless the same consideration is also offered to all of the parties to this Agreement. For clarification purposes, this provision constitutes a separate right granted to each Investor by the Company and negotiated separately by each Investor, and is intended for the Company to treat the Investors as a class and shall not in any way be construed as the Investors acting in concert or as a group with respect to the purchase, disposition or voting of the Shares or otherwise.</w:t>
      </w:r>
    </w:p>
    <w:p>
      <w:pPr>
        <w:spacing w:after="0" w:line="183" w:lineRule="exact"/>
        <w:rPr>
          <w:sz w:val="20"/>
          <w:szCs w:val="20"/>
          <w:color w:val="auto"/>
        </w:rPr>
      </w:pPr>
    </w:p>
    <w:p>
      <w:pPr>
        <w:ind w:left="-20" w:right="100" w:firstLine="656"/>
        <w:spacing w:after="0" w:line="255"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Accuracy of Covered SEC Filings. </w:t>
      </w:r>
      <w:r>
        <w:rPr>
          <w:rFonts w:ascii="Times New Roman" w:cs="Times New Roman" w:eastAsia="Times New Roman" w:hAnsi="Times New Roman"/>
          <w:sz w:val="18"/>
          <w:szCs w:val="18"/>
          <w:color w:val="auto"/>
        </w:rPr>
        <w:t>As of their respective dates, the Covered SEC Filings complied with the requirements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and the rules and regulations of the SEC promulgated thereunder and, none of the Covered SEC Filings included an untrue statement of a material fact or omitted to state a material fact necessary in order to make the statements therein, in the light of the circumstances under which they were made, not misleading. The financial statements of the Company included in the Covered SEC Filings comply with GAAP and the rules and regulations of the SEC with respect thereto, in each case, as in effect at the time of filing, and fairly present in all material respects the financial position of the Company as of and for the dates thereof and the results of operations and cash flows as at the respective dates thereof and for the respective periods indicated. There are no outstanding or unresolved comments in comment letters received by the Company from the staff of the Division of Corporation Finance of the SEC with respect to any of the Covered SEC Filings.</w:t>
      </w:r>
    </w:p>
    <w:p>
      <w:pPr>
        <w:spacing w:after="0" w:line="184" w:lineRule="exact"/>
        <w:rPr>
          <w:rFonts w:ascii="Times New Roman" w:cs="Times New Roman" w:eastAsia="Times New Roman" w:hAnsi="Times New Roman"/>
          <w:sz w:val="18"/>
          <w:szCs w:val="18"/>
          <w:color w:val="auto"/>
        </w:rPr>
      </w:pPr>
    </w:p>
    <w:p>
      <w:pPr>
        <w:ind w:left="-20" w:right="100" w:firstLine="656"/>
        <w:spacing w:after="0" w:line="267" w:lineRule="auto"/>
        <w:tabs>
          <w:tab w:leader="none" w:pos="12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Undisclosed Liabilities for Borrowed Money. </w:t>
      </w:r>
      <w:r>
        <w:rPr>
          <w:rFonts w:ascii="Times New Roman" w:cs="Times New Roman" w:eastAsia="Times New Roman" w:hAnsi="Times New Roman"/>
          <w:sz w:val="18"/>
          <w:szCs w:val="18"/>
          <w:color w:val="auto"/>
        </w:rPr>
        <w:t>There are no liabilities of the Company or any of its subsidiaries for borrowed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be required by GAAP to be reflected on the face of the Company’s consolidated balance sheet, except liabilities reflected or reserved against in the financial statements contained in the Covered SEC Filings or as otherwise disclosed in the Covered SEC Filings.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9" w:right="359" w:bottom="1440" w:gutter="0" w:footer="0" w:header="0"/>
        </w:sectPr>
      </w:pPr>
    </w:p>
    <w:bookmarkStart w:id="18" w:name="page19"/>
    <w:bookmarkEnd w:id="18"/>
    <w:p>
      <w:pPr>
        <w:ind w:right="80" w:firstLine="656"/>
        <w:spacing w:after="0" w:line="261" w:lineRule="auto"/>
        <w:tabs>
          <w:tab w:leader="none" w:pos="1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Material Adverse Change. </w:t>
      </w:r>
      <w:r>
        <w:rPr>
          <w:rFonts w:ascii="Times New Roman" w:cs="Times New Roman" w:eastAsia="Times New Roman" w:hAnsi="Times New Roman"/>
          <w:sz w:val="18"/>
          <w:szCs w:val="18"/>
          <w:color w:val="auto"/>
        </w:rPr>
        <w:t>Since the date of the latest audited financial statements included within the Covered SEC 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disclosed in subsequent public SEC filings filed prior to the date hereof, (x) the Company and its subsidiaries have conducted their respective businesses in all material respects in the ordinary course of business and (y) no events, changes or developments have occurred that, individually or in the aggregate, have had or would reasonably be expected to have a Material Adverse Effect.</w:t>
      </w:r>
    </w:p>
    <w:p>
      <w:pPr>
        <w:spacing w:after="0" w:line="18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2"/>
          <w:szCs w:val="12"/>
          <w:u w:val="single" w:color="auto"/>
          <w:color w:val="auto"/>
        </w:rPr>
        <w:t>epresentations</w:t>
      </w:r>
      <w:r>
        <w:rPr>
          <w:rFonts w:ascii="Times New Roman" w:cs="Times New Roman" w:eastAsia="Times New Roman" w:hAnsi="Times New Roman"/>
          <w:sz w:val="18"/>
          <w:szCs w:val="18"/>
          <w:u w:val="single" w:color="auto"/>
          <w:color w:val="auto"/>
        </w:rPr>
        <w:t>, W</w:t>
      </w:r>
      <w:r>
        <w:rPr>
          <w:rFonts w:ascii="Times New Roman" w:cs="Times New Roman" w:eastAsia="Times New Roman" w:hAnsi="Times New Roman"/>
          <w:sz w:val="12"/>
          <w:szCs w:val="12"/>
          <w:u w:val="single" w:color="auto"/>
          <w:color w:val="auto"/>
        </w:rPr>
        <w:t>arranties and</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2"/>
          <w:szCs w:val="12"/>
          <w:u w:val="single" w:color="auto"/>
          <w:color w:val="auto"/>
        </w:rPr>
        <w:t>ovenants of the</w:t>
      </w:r>
      <w:r>
        <w:rPr>
          <w:rFonts w:ascii="Times New Roman" w:cs="Times New Roman" w:eastAsia="Times New Roman" w:hAnsi="Times New Roman"/>
          <w:sz w:val="18"/>
          <w:szCs w:val="18"/>
          <w:u w:val="single" w:color="auto"/>
          <w:color w:val="auto"/>
        </w:rPr>
        <w:t xml:space="preserve"> I</w:t>
      </w:r>
      <w:r>
        <w:rPr>
          <w:rFonts w:ascii="Times New Roman" w:cs="Times New Roman" w:eastAsia="Times New Roman" w:hAnsi="Times New Roman"/>
          <w:sz w:val="12"/>
          <w:szCs w:val="12"/>
          <w:u w:val="single" w:color="auto"/>
          <w:color w:val="auto"/>
        </w:rPr>
        <w:t>nvestors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Investor, severally and not jointly, represents, and warrants to the Company and covenants that:</w:t>
      </w:r>
    </w:p>
    <w:p>
      <w:pPr>
        <w:spacing w:after="0" w:line="225" w:lineRule="exact"/>
        <w:rPr>
          <w:sz w:val="20"/>
          <w:szCs w:val="20"/>
          <w:color w:val="auto"/>
        </w:rPr>
      </w:pPr>
    </w:p>
    <w:p>
      <w:pPr>
        <w:ind w:right="560" w:firstLine="656"/>
        <w:spacing w:after="0" w:line="282" w:lineRule="auto"/>
        <w:tabs>
          <w:tab w:leader="none" w:pos="12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and Delivery of This Agreement. Such Investor has full power and authority to execute and deliver, and perform its obligations under, and has duly authorized, executed and delivered, this Agreement.</w:t>
      </w:r>
    </w:p>
    <w:p>
      <w:pPr>
        <w:spacing w:after="0" w:line="159" w:lineRule="exact"/>
        <w:rPr>
          <w:rFonts w:ascii="Times New Roman" w:cs="Times New Roman" w:eastAsia="Times New Roman" w:hAnsi="Times New Roman"/>
          <w:sz w:val="18"/>
          <w:szCs w:val="18"/>
          <w:color w:val="auto"/>
        </w:rPr>
      </w:pPr>
    </w:p>
    <w:p>
      <w:pPr>
        <w:ind w:right="280" w:firstLine="656"/>
        <w:spacing w:after="0" w:line="284" w:lineRule="auto"/>
        <w:tabs>
          <w:tab w:leader="none" w:pos="1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Certain Laws; No Consents. </w:t>
      </w:r>
      <w:r>
        <w:rPr>
          <w:rFonts w:ascii="Times New Roman" w:cs="Times New Roman" w:eastAsia="Times New Roman" w:hAnsi="Times New Roman"/>
          <w:sz w:val="18"/>
          <w:szCs w:val="18"/>
          <w:color w:val="auto"/>
        </w:rPr>
        <w:t>Such Investor will not be required to obtain any consent, approval or permission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the Shares under any laws or regulations to which such Investor is subject.</w:t>
      </w:r>
    </w:p>
    <w:p>
      <w:pPr>
        <w:spacing w:after="0" w:line="158" w:lineRule="exact"/>
        <w:rPr>
          <w:rFonts w:ascii="Times New Roman" w:cs="Times New Roman" w:eastAsia="Times New Roman" w:hAnsi="Times New Roman"/>
          <w:sz w:val="18"/>
          <w:szCs w:val="18"/>
          <w:color w:val="auto"/>
        </w:rPr>
      </w:pPr>
    </w:p>
    <w:p>
      <w:pPr>
        <w:ind w:right="80" w:firstLine="656"/>
        <w:spacing w:after="0" w:line="261" w:lineRule="auto"/>
        <w:tabs>
          <w:tab w:leader="none" w:pos="12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Capability</w:t>
      </w:r>
      <w:r>
        <w:rPr>
          <w:rFonts w:ascii="Times New Roman" w:cs="Times New Roman" w:eastAsia="Times New Roman" w:hAnsi="Times New Roman"/>
          <w:sz w:val="18"/>
          <w:szCs w:val="18"/>
          <w:color w:val="auto"/>
        </w:rPr>
        <w:t>. Each Investor, when required to deliver payment to the Company pursuant to Section 2 above, will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available funds to pay the Investor’s Subscription Amount and consummate the purchase and sale of the Shares pursuant to this Agreement. Each Investor is not aware of any reason why the funds sufficient to fulfill its obligations under Section 2 above (including paying the Investor’s full portion of the Subscription Amount) will not be available on the Closing Date.</w:t>
      </w:r>
    </w:p>
    <w:p>
      <w:pPr>
        <w:spacing w:after="0" w:line="18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2"/>
          <w:szCs w:val="12"/>
          <w:u w:val="single" w:color="auto"/>
          <w:color w:val="auto"/>
        </w:rPr>
        <w:t>ubsequent</w:t>
      </w:r>
      <w:r>
        <w:rPr>
          <w:rFonts w:ascii="Times New Roman" w:cs="Times New Roman" w:eastAsia="Times New Roman" w:hAnsi="Times New Roman"/>
          <w:sz w:val="18"/>
          <w:szCs w:val="18"/>
          <w:u w:val="single" w:color="auto"/>
          <w:color w:val="auto"/>
        </w:rPr>
        <w:t xml:space="preserve"> E</w:t>
      </w:r>
      <w:r>
        <w:rPr>
          <w:rFonts w:ascii="Times New Roman" w:cs="Times New Roman" w:eastAsia="Times New Roman" w:hAnsi="Times New Roman"/>
          <w:sz w:val="12"/>
          <w:szCs w:val="12"/>
          <w:u w:val="single" w:color="auto"/>
          <w:color w:val="auto"/>
        </w:rPr>
        <w:t>quity</w:t>
      </w:r>
      <w:r>
        <w:rPr>
          <w:rFonts w:ascii="Times New Roman" w:cs="Times New Roman" w:eastAsia="Times New Roman" w:hAnsi="Times New Roman"/>
          <w:sz w:val="18"/>
          <w:szCs w:val="18"/>
          <w:u w:val="single" w:color="auto"/>
          <w:color w:val="auto"/>
        </w:rPr>
        <w:t xml:space="preserve"> S</w:t>
      </w:r>
      <w:r>
        <w:rPr>
          <w:rFonts w:ascii="Times New Roman" w:cs="Times New Roman" w:eastAsia="Times New Roman" w:hAnsi="Times New Roman"/>
          <w:sz w:val="12"/>
          <w:szCs w:val="12"/>
          <w:u w:val="single" w:color="auto"/>
          <w:color w:val="auto"/>
        </w:rPr>
        <w:t>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the date hereof until six (6) months after the Closing Date, neither the Company nor any of its subsidiaries shall, without the consent of the investment advisor of the Investors as of the date hereof, (a) issue, enter into any agreement to issue or announce the issuance or proposed issuance of any shares of Common Stock or securities convertible into or exercisable or exchangeable for any shares of Common Stock or (b) file any registration statement or amendment or supplement thereto, other than the Prospectus Supplement or filing a registration statement on Form S-8 in connection with any employee benefit plan; provided, however, that this Section 5 shall not apply to (i) any shares of Common Stock issued or equity awards with respect to Common Stock granted pursuant to the Company’s equity incentive plans existing as of the date hereof, or (ii) any shares of Common Stock or securities convertible into or exercisable or exchangeable for any shares of Common Stock issued in connection with any strategic acquisition, joint venture or other bona fide commercial transaction of a non-capital-raising nature.</w:t>
      </w:r>
    </w:p>
    <w:p>
      <w:pPr>
        <w:spacing w:after="0" w:line="19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2"/>
          <w:szCs w:val="12"/>
          <w:u w:val="single" w:color="auto"/>
          <w:color w:val="auto"/>
        </w:rPr>
        <w:t>onditions to</w:t>
      </w:r>
      <w:r>
        <w:rPr>
          <w:rFonts w:ascii="Times New Roman" w:cs="Times New Roman" w:eastAsia="Times New Roman" w:hAnsi="Times New Roman"/>
          <w:sz w:val="18"/>
          <w:szCs w:val="18"/>
          <w:u w:val="single" w:color="auto"/>
          <w:color w:val="auto"/>
        </w:rPr>
        <w:t xml:space="preserve"> O</w:t>
      </w:r>
      <w:r>
        <w:rPr>
          <w:rFonts w:ascii="Times New Roman" w:cs="Times New Roman" w:eastAsia="Times New Roman" w:hAnsi="Times New Roman"/>
          <w:sz w:val="12"/>
          <w:szCs w:val="12"/>
          <w:u w:val="single" w:color="auto"/>
          <w:color w:val="auto"/>
        </w:rPr>
        <w:t>bligations of the</w:t>
      </w:r>
      <w:r>
        <w:rPr>
          <w:rFonts w:ascii="Times New Roman" w:cs="Times New Roman" w:eastAsia="Times New Roman" w:hAnsi="Times New Roman"/>
          <w:sz w:val="18"/>
          <w:szCs w:val="18"/>
          <w:u w:val="single" w:color="auto"/>
          <w:color w:val="auto"/>
        </w:rPr>
        <w:t xml:space="preserve"> C</w:t>
      </w:r>
      <w:r>
        <w:rPr>
          <w:rFonts w:ascii="Times New Roman" w:cs="Times New Roman" w:eastAsia="Times New Roman" w:hAnsi="Times New Roman"/>
          <w:sz w:val="12"/>
          <w:szCs w:val="12"/>
          <w:u w:val="single" w:color="auto"/>
          <w:color w:val="auto"/>
        </w:rPr>
        <w:t>ompany and the</w:t>
      </w:r>
      <w:r>
        <w:rPr>
          <w:rFonts w:ascii="Times New Roman" w:cs="Times New Roman" w:eastAsia="Times New Roman" w:hAnsi="Times New Roman"/>
          <w:sz w:val="18"/>
          <w:szCs w:val="18"/>
          <w:u w:val="single" w:color="auto"/>
          <w:color w:val="auto"/>
        </w:rPr>
        <w:t xml:space="preserve"> I</w:t>
      </w:r>
      <w:r>
        <w:rPr>
          <w:rFonts w:ascii="Times New Roman" w:cs="Times New Roman" w:eastAsia="Times New Roman" w:hAnsi="Times New Roman"/>
          <w:sz w:val="12"/>
          <w:szCs w:val="12"/>
          <w:u w:val="single" w:color="auto"/>
          <w:color w:val="auto"/>
        </w:rPr>
        <w:t>nvestors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360" w:firstLine="656"/>
        <w:spacing w:after="0" w:line="284" w:lineRule="auto"/>
        <w:tabs>
          <w:tab w:leader="none" w:pos="12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to the Obligations of the Company. </w:t>
      </w:r>
      <w:r>
        <w:rPr>
          <w:rFonts w:ascii="Times New Roman" w:cs="Times New Roman" w:eastAsia="Times New Roman" w:hAnsi="Times New Roman"/>
          <w:sz w:val="18"/>
          <w:szCs w:val="18"/>
          <w:color w:val="auto"/>
        </w:rPr>
        <w:t>The obligation of the Company to deliver the Shares to each Investor is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at or prior to the Closing of each of the following conditions precedent:</w:t>
      </w:r>
    </w:p>
    <w:p>
      <w:pPr>
        <w:spacing w:after="0" w:line="160" w:lineRule="exact"/>
        <w:rPr>
          <w:rFonts w:ascii="Times New Roman" w:cs="Times New Roman" w:eastAsia="Times New Roman" w:hAnsi="Times New Roman"/>
          <w:sz w:val="18"/>
          <w:szCs w:val="18"/>
          <w:color w:val="auto"/>
        </w:rPr>
      </w:pPr>
    </w:p>
    <w:p>
      <w:pPr>
        <w:ind w:left="660" w:right="380" w:firstLine="644"/>
        <w:spacing w:after="0" w:line="282" w:lineRule="auto"/>
        <w:tabs>
          <w:tab w:leader="none" w:pos="183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such Investor in Section 4 hereof are true and correct as of the Closing in all respects with the same effect as though such representations and warranties had been made as of the Closing;</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of such Investor in Section 4 to be performed at or before the Closing have been performed;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 w:name="page20"/>
    <w:bookmarkEnd w:id="19"/>
    <w:p>
      <w:pPr>
        <w:ind w:left="1820" w:hanging="536"/>
        <w:spacing w:after="0"/>
        <w:tabs>
          <w:tab w:leader="none" w:pos="18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Subscription Amount for such Shares in accordance with Section 2(b)(ii)(1); and</w:t>
      </w:r>
    </w:p>
    <w:p>
      <w:pPr>
        <w:spacing w:after="0" w:line="225" w:lineRule="exact"/>
        <w:rPr>
          <w:rFonts w:ascii="Times New Roman" w:cs="Times New Roman" w:eastAsia="Times New Roman" w:hAnsi="Times New Roman"/>
          <w:sz w:val="18"/>
          <w:szCs w:val="18"/>
          <w:color w:val="auto"/>
        </w:rPr>
      </w:pPr>
    </w:p>
    <w:p>
      <w:pPr>
        <w:jc w:val="both"/>
        <w:ind w:left="640" w:right="160" w:firstLine="644"/>
        <w:spacing w:after="0" w:line="266" w:lineRule="auto"/>
        <w:tabs>
          <w:tab w:leader="none" w:pos="18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authorizations, approvals or permits, if any, of any Governmental Authority or regulatory body of the United States or of any state that are required in connection with the lawful issuance and sale of the Shares pursuant to this Agreement shall be obtained and effective as of the Closing Date.</w:t>
      </w:r>
    </w:p>
    <w:p>
      <w:pPr>
        <w:spacing w:after="0" w:line="173" w:lineRule="exact"/>
        <w:rPr>
          <w:rFonts w:ascii="Times New Roman" w:cs="Times New Roman" w:eastAsia="Times New Roman" w:hAnsi="Times New Roman"/>
          <w:sz w:val="18"/>
          <w:szCs w:val="18"/>
          <w:color w:val="auto"/>
        </w:rPr>
      </w:pPr>
    </w:p>
    <w:p>
      <w:pPr>
        <w:jc w:val="both"/>
        <w:ind w:left="-20" w:right="200" w:firstLine="656"/>
        <w:spacing w:after="0" w:line="267" w:lineRule="auto"/>
        <w:tabs>
          <w:tab w:leader="none" w:pos="12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to the Investors’ Obligations. </w:t>
      </w:r>
      <w:r>
        <w:rPr>
          <w:rFonts w:ascii="Times New Roman" w:cs="Times New Roman" w:eastAsia="Times New Roman" w:hAnsi="Times New Roman"/>
          <w:sz w:val="18"/>
          <w:szCs w:val="18"/>
          <w:color w:val="auto"/>
        </w:rPr>
        <w:t>The obligation of each Investor to deliver (or cause to be delivered) the Subscription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Shares to be purchased by it pursuant to this Agreement is subject to the satisfaction at or prior to the Closing of each of the following conditions precedent:</w:t>
      </w:r>
    </w:p>
    <w:p>
      <w:pPr>
        <w:spacing w:after="0" w:line="175" w:lineRule="exact"/>
        <w:rPr>
          <w:rFonts w:ascii="Times New Roman" w:cs="Times New Roman" w:eastAsia="Times New Roman" w:hAnsi="Times New Roman"/>
          <w:sz w:val="18"/>
          <w:szCs w:val="18"/>
          <w:color w:val="auto"/>
        </w:rPr>
      </w:pPr>
    </w:p>
    <w:p>
      <w:pPr>
        <w:ind w:left="640" w:right="280" w:firstLine="644"/>
        <w:spacing w:after="0" w:line="261" w:lineRule="auto"/>
        <w:tabs>
          <w:tab w:leader="none" w:pos="18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in Section 3 are true and correct as of the Closing in all respects (without giving effect to any materiality, Material Adverse Effect or similar qualifiers, other than in clause (y) of Section 3(cc)) with the same effect as though such representations and warranties had been made as of the Closing; except as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1820" w:hanging="536"/>
        <w:spacing w:after="0"/>
        <w:tabs>
          <w:tab w:leader="none" w:pos="1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of the Company in Section 3 to be performed at or before the Closing have been performed in all material respects;</w:t>
      </w:r>
    </w:p>
    <w:p>
      <w:pPr>
        <w:spacing w:after="0" w:line="225" w:lineRule="exact"/>
        <w:rPr>
          <w:rFonts w:ascii="Times New Roman" w:cs="Times New Roman" w:eastAsia="Times New Roman" w:hAnsi="Times New Roman"/>
          <w:sz w:val="18"/>
          <w:szCs w:val="18"/>
          <w:color w:val="auto"/>
        </w:rPr>
      </w:pPr>
    </w:p>
    <w:p>
      <w:pPr>
        <w:ind w:left="640" w:right="340" w:firstLine="644"/>
        <w:spacing w:after="0" w:line="282" w:lineRule="auto"/>
        <w:tabs>
          <w:tab w:leader="none" w:pos="18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authorized officer of the Company shall have delivered to the Investors on the Closing Date a certificate certifying that the conditions specified in clauses (i) and (ii) of this Section 6(b) have been fulfilled;</w:t>
      </w:r>
    </w:p>
    <w:p>
      <w:pPr>
        <w:spacing w:after="0" w:line="161" w:lineRule="exact"/>
        <w:rPr>
          <w:rFonts w:ascii="Times New Roman" w:cs="Times New Roman" w:eastAsia="Times New Roman" w:hAnsi="Times New Roman"/>
          <w:sz w:val="18"/>
          <w:szCs w:val="18"/>
          <w:color w:val="auto"/>
        </w:rPr>
      </w:pPr>
    </w:p>
    <w:p>
      <w:pPr>
        <w:jc w:val="both"/>
        <w:ind w:left="640" w:right="100" w:firstLine="644"/>
        <w:spacing w:after="0" w:line="266" w:lineRule="auto"/>
        <w:tabs>
          <w:tab w:leader="none" w:pos="18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authorizations, approvals or permits, if any, of any Governmental Authority or regulatory body of the United States or of any jurisdiction that are required in connection with the lawful issue and sale of the Shares pursuant to this Agreement shall be obtained and effective as of the Closing Date;</w:t>
      </w:r>
    </w:p>
    <w:p>
      <w:pPr>
        <w:spacing w:after="0" w:line="175" w:lineRule="exact"/>
        <w:rPr>
          <w:rFonts w:ascii="Times New Roman" w:cs="Times New Roman" w:eastAsia="Times New Roman" w:hAnsi="Times New Roman"/>
          <w:sz w:val="18"/>
          <w:szCs w:val="18"/>
          <w:color w:val="auto"/>
        </w:rPr>
      </w:pPr>
    </w:p>
    <w:p>
      <w:pPr>
        <w:ind w:left="640" w:firstLine="644"/>
        <w:spacing w:after="0" w:line="282" w:lineRule="auto"/>
        <w:tabs>
          <w:tab w:leader="none" w:pos="18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shall have received a legal opinion of K&amp;L Gates LLP dated as of the Closing Date regarding the Shares, in the form reasonably acceptable to the Investors;</w:t>
      </w:r>
    </w:p>
    <w:p>
      <w:pPr>
        <w:spacing w:after="0" w:line="161" w:lineRule="exact"/>
        <w:rPr>
          <w:rFonts w:ascii="Times New Roman" w:cs="Times New Roman" w:eastAsia="Times New Roman" w:hAnsi="Times New Roman"/>
          <w:sz w:val="18"/>
          <w:szCs w:val="18"/>
          <w:color w:val="auto"/>
        </w:rPr>
      </w:pPr>
    </w:p>
    <w:p>
      <w:pPr>
        <w:ind w:left="1820" w:hanging="536"/>
        <w:spacing w:after="0"/>
        <w:tabs>
          <w:tab w:leader="none" w:pos="1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the Shares to the Investors;</w:t>
      </w:r>
    </w:p>
    <w:p>
      <w:pPr>
        <w:spacing w:after="0" w:line="225" w:lineRule="exact"/>
        <w:rPr>
          <w:rFonts w:ascii="Times New Roman" w:cs="Times New Roman" w:eastAsia="Times New Roman" w:hAnsi="Times New Roman"/>
          <w:sz w:val="18"/>
          <w:szCs w:val="18"/>
          <w:color w:val="auto"/>
        </w:rPr>
      </w:pPr>
    </w:p>
    <w:p>
      <w:pPr>
        <w:ind w:left="640" w:right="240" w:firstLine="644"/>
        <w:spacing w:after="0" w:line="266" w:lineRule="auto"/>
        <w:tabs>
          <w:tab w:leader="none" w:pos="182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Shares equal to such Investor’s Subscription Amount divided by the Per Share Purchase Price, registered in the name of such Investor’s broker, as instructed by such Investor;</w:t>
      </w:r>
    </w:p>
    <w:p>
      <w:pPr>
        <w:spacing w:after="0" w:line="175" w:lineRule="exact"/>
        <w:rPr>
          <w:rFonts w:ascii="Times New Roman" w:cs="Times New Roman" w:eastAsia="Times New Roman" w:hAnsi="Times New Roman"/>
          <w:sz w:val="18"/>
          <w:szCs w:val="18"/>
          <w:color w:val="auto"/>
        </w:rPr>
      </w:pPr>
    </w:p>
    <w:p>
      <w:pPr>
        <w:ind w:left="640" w:right="120" w:firstLine="644"/>
        <w:spacing w:after="0" w:line="266" w:lineRule="auto"/>
        <w:tabs>
          <w:tab w:leader="none" w:pos="18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be effective on the date of this Agreement and at the Closing Date, no stop order suspending the effectiveness of the Registration Statement shall have been issued and no proceedings for that purpose shall have been instituted or shall be pending or contemplated by the SEC and any request on the part of the SEC for additional information shall have been complied with;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0" w:name="page21"/>
    <w:bookmarkEnd w:id="20"/>
    <w:p>
      <w:pPr>
        <w:ind w:left="660" w:right="160" w:firstLine="644"/>
        <w:spacing w:after="0" w:line="281" w:lineRule="auto"/>
        <w:tabs>
          <w:tab w:leader="none" w:pos="183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to the Closing Date, trading in the Common Stock shall not have been suspended by the SEC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w:t>
      </w:r>
    </w:p>
    <w:p>
      <w:pPr>
        <w:spacing w:after="0" w:line="164"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2"/>
          <w:szCs w:val="12"/>
          <w:u w:val="single" w:color="auto"/>
          <w:color w:val="auto"/>
        </w:rPr>
        <w:t>he</w:t>
      </w:r>
      <w:r>
        <w:rPr>
          <w:rFonts w:ascii="Times New Roman" w:cs="Times New Roman" w:eastAsia="Times New Roman" w:hAnsi="Times New Roman"/>
          <w:sz w:val="18"/>
          <w:szCs w:val="18"/>
          <w:u w:val="single" w:color="auto"/>
          <w:color w:val="auto"/>
        </w:rPr>
        <w:t xml:space="preserve"> R</w:t>
      </w:r>
      <w:r>
        <w:rPr>
          <w:rFonts w:ascii="Times New Roman" w:cs="Times New Roman" w:eastAsia="Times New Roman" w:hAnsi="Times New Roman"/>
          <w:sz w:val="12"/>
          <w:szCs w:val="12"/>
          <w:u w:val="single" w:color="auto"/>
          <w:color w:val="auto"/>
        </w:rPr>
        <w:t>elease</w:t>
      </w:r>
      <w:r>
        <w:rPr>
          <w:rFonts w:ascii="Times New Roman" w:cs="Times New Roman" w:eastAsia="Times New Roman" w:hAnsi="Times New Roman"/>
          <w:sz w:val="18"/>
          <w:szCs w:val="18"/>
          <w:u w:val="single" w:color="auto"/>
          <w:color w:val="auto"/>
        </w:rPr>
        <w:t xml:space="preserve"> T</w:t>
      </w:r>
      <w:r>
        <w:rPr>
          <w:rFonts w:ascii="Times New Roman" w:cs="Times New Roman" w:eastAsia="Times New Roman" w:hAnsi="Times New Roman"/>
          <w:sz w:val="12"/>
          <w:szCs w:val="12"/>
          <w:u w:val="single" w:color="auto"/>
          <w:color w:val="auto"/>
        </w:rPr>
        <w:t>ime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5" w:lineRule="auto"/>
        <w:tabs>
          <w:tab w:leader="none" w:pos="8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is not aware of any material non-public information regarding the Company or its securities, other than any material non-public information relating to the transactions contemplated by this Agreement; and (b) the Company agrees to publicly disclose at or before 8:30 a.m., New York City time, on the first business day after the date of this Agreement (such time and date, the “</w:t>
      </w:r>
      <w:r>
        <w:rPr>
          <w:rFonts w:ascii="Times New Roman" w:cs="Times New Roman" w:eastAsia="Times New Roman" w:hAnsi="Times New Roman"/>
          <w:sz w:val="18"/>
          <w:szCs w:val="18"/>
          <w:b w:val="1"/>
          <w:bCs w:val="1"/>
          <w:color w:val="auto"/>
        </w:rPr>
        <w:t>Release Time</w:t>
      </w:r>
      <w:r>
        <w:rPr>
          <w:rFonts w:ascii="Times New Roman" w:cs="Times New Roman" w:eastAsia="Times New Roman" w:hAnsi="Times New Roman"/>
          <w:sz w:val="18"/>
          <w:szCs w:val="18"/>
          <w:color w:val="auto"/>
        </w:rPr>
        <w:t>”), the material terms of this Agreement and the transactions contemplated hereby, and any other material non-public information that has been provided to any Investor, in a press release or Current Report on Form 8-K. The Company acknowledges and agrees that, as of the Release Time, none of the information provided by or on behalf of the Company to any Investor in connection with the transactions contemplated by this Agreement will constitute material non-public information.</w:t>
      </w:r>
    </w:p>
    <w:p>
      <w:pPr>
        <w:spacing w:after="0" w:line="189"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2"/>
          <w:szCs w:val="12"/>
          <w:u w:val="single" w:color="auto"/>
          <w:color w:val="auto"/>
        </w:rPr>
        <w:t>ax</w:t>
      </w:r>
      <w:r>
        <w:rPr>
          <w:rFonts w:ascii="Times New Roman" w:cs="Times New Roman" w:eastAsia="Times New Roman" w:hAnsi="Times New Roman"/>
          <w:sz w:val="18"/>
          <w:szCs w:val="18"/>
          <w:u w:val="single" w:color="auto"/>
          <w:color w:val="auto"/>
        </w:rPr>
        <w:t xml:space="preserve"> M</w:t>
      </w:r>
      <w:r>
        <w:rPr>
          <w:rFonts w:ascii="Times New Roman" w:cs="Times New Roman" w:eastAsia="Times New Roman" w:hAnsi="Times New Roman"/>
          <w:sz w:val="12"/>
          <w:szCs w:val="12"/>
          <w:u w:val="single" w:color="auto"/>
          <w:color w:val="auto"/>
        </w:rPr>
        <w:t>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55" w:lineRule="auto"/>
        <w:tabs>
          <w:tab w:leader="none" w:pos="12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acknowledges that, if it is a United States person for U.S. federal income tax purposes, then either (a) the Company must be provided with a correct taxpayer identification number (generally, a person’s social security or federal employer identification number) and certain other information on a properly completed and executed IRS Form W-9; or (b) another basis for exemption from U.S. backup withholding must be established. Each Investor further acknowledges that, if it is not a United States person for U.S. federal income tax purposes, then the Company must be provided with the appropriate properly completed and executed IRS Form W-8, attesting to such non-U.S. Investor’s foreign status and certain other information, including information establishing an exemption from withholding under Sections 1471 through 1474 of the Code, to the extent the Investor is legally entitled 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652"/>
        <w:spacing w:after="0"/>
        <w:tabs>
          <w:tab w:leader="none" w:pos="1792"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2"/>
          <w:szCs w:val="12"/>
          <w:u w:val="single" w:color="auto"/>
          <w:color w:val="auto"/>
        </w:rPr>
        <w:t>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8" w:firstLine="656"/>
        <w:spacing w:after="0" w:line="251" w:lineRule="auto"/>
        <w:tabs>
          <w:tab w:leader="none" w:pos="12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Investors. </w:t>
      </w:r>
      <w:r>
        <w:rPr>
          <w:rFonts w:ascii="Times New Roman" w:cs="Times New Roman" w:eastAsia="Times New Roman" w:hAnsi="Times New Roman"/>
          <w:sz w:val="18"/>
          <w:szCs w:val="18"/>
          <w:color w:val="auto"/>
        </w:rPr>
        <w:t>Subject to the provisions of this Section 9(a), the Company will indemnify and hold each Investor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shareholders, members, partners, employees and agents (and any other Persons with a functionally equivalent role of a Person holding such titles notwithstanding a lack of such title or any other title), each Person who controls such Investor (within the meaning of Section 15 of the Securities Act and Section 20 of the Exchange Act), and the directors, officers, shareholders, agents, members, partners or employees of such controlling persons (each, a “</w:t>
      </w:r>
      <w:r>
        <w:rPr>
          <w:rFonts w:ascii="Times New Roman" w:cs="Times New Roman" w:eastAsia="Times New Roman" w:hAnsi="Times New Roman"/>
          <w:sz w:val="18"/>
          <w:szCs w:val="18"/>
          <w:b w:val="1"/>
          <w:bCs w:val="1"/>
          <w:color w:val="auto"/>
        </w:rPr>
        <w:t>Investor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Investor Party may suffer or incur as a result of or relating to (a) any breach of any of the representations, warranties, covenants or agreements made by the Company in this Agreement or (b) any action or claim instituted or made against the Investor Parties in any capacity, or any of them or their respective Affiliates, by any stockholder of the Company who is not an Affiliate of such Investor Party or any other third party (including a derivative action brought on behalf of the Company) (each, a “</w:t>
      </w:r>
      <w:r>
        <w:rPr>
          <w:rFonts w:ascii="Times New Roman" w:cs="Times New Roman" w:eastAsia="Times New Roman" w:hAnsi="Times New Roman"/>
          <w:sz w:val="18"/>
          <w:szCs w:val="18"/>
          <w:b w:val="1"/>
          <w:bCs w:val="1"/>
          <w:color w:val="auto"/>
        </w:rPr>
        <w:t>Covered Action</w:t>
      </w:r>
      <w:r>
        <w:rPr>
          <w:rFonts w:ascii="Times New Roman" w:cs="Times New Roman" w:eastAsia="Times New Roman" w:hAnsi="Times New Roman"/>
          <w:sz w:val="18"/>
          <w:szCs w:val="18"/>
          <w:color w:val="auto"/>
        </w:rPr>
        <w:t>”), with respect to, or arising out of or resulting from, any of the transactions contemplated by this Agreement (unless such action is solely based upon a material breach of such Investor Party’s representations, warranties or covenants under this Agreement or any agreements or understandings such Investor Party may have with any such stockholder or any violations by such Investor Party of state or federal securities laws or any conduct by such Investor Party which is finally judicially determined to constitute fraud, gross negligence or willful misconduct). If any Covered Action shall be brought against any Investor Party in respect of which indemnity may be sought pursuant to this Agreement, such Investor Party shall promptly notify the Company in writing, and the Company shall have the right to assume the defense thereof with counsel of its own choosing reasonably acceptable to the Investor Party. Any Investor Party shall have the right to employ separate counsel in any such Covered Action and participate in the defense thereof, but the fees and expenses of such counsel shall be at the expense of such Investor Party except to the extent that (i) the employment thereof has been specifically authorized by the Company in writing, (ii) the Company has failed after a reasonable period of time to assume such defense and to employ counsel or (iii) in such Covered Action there is, in the reasonable opinion of counsel, a material conflict on any material issue between the position of the Company and the position of such Investor Party, in which case the Company shall be responsible for the reasonable fees and expenses of no more than one such separate counsel. The Company will not be liable to any Investor Party under this Agreement (y) for any settlement by a Investor Party effected without the Company’s prior written consent, which shall not be unreasonably withheld or delayed; or (z) to the extent, but only to the extent that a loss, claim, damage or liability is attributable to any Investor Party’s breach of any of the representations, warranties, covenants or agreements made by such Investor Party in this Agreement. The Company shall not, without the prior written consent of the Investor Party, consent to entry of any judgment or enter into any settlement or other compromise which does not include as an unconditional term thereof the giving by the claimant or plaintiff to such Investor Party of a release from all liability in respect to such Covered Action, and such settlement shall not include any admission as to fault on the part of the Investor Party. The indemnification required by this Section 9(a) shall be made by periodic payments of the amount thereof during the course of the investigation or defense, as and when bills are received or are incurred. The indemnity agreements contained herein shall be in addition to any cause of action or similar right of any Investor Party against the Company or others and any liabilities the Company may be subject to pursuant to law.</w:t>
      </w:r>
    </w:p>
    <w:p>
      <w:pPr>
        <w:spacing w:after="0" w:line="202"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The Company will pay or cause to be paid the following (i) the fees, disbursements and expenses of the Company’s counsel,</w:t>
      </w:r>
    </w:p>
    <w:p>
      <w:pPr>
        <w:spacing w:after="0" w:line="29" w:lineRule="exact"/>
        <w:rPr>
          <w:rFonts w:ascii="Times New Roman" w:cs="Times New Roman" w:eastAsia="Times New Roman" w:hAnsi="Times New Roman"/>
          <w:sz w:val="18"/>
          <w:szCs w:val="18"/>
          <w:color w:val="auto"/>
        </w:rPr>
      </w:pPr>
    </w:p>
    <w:p>
      <w:pPr>
        <w:jc w:val="both"/>
        <w:ind w:left="-8" w:right="40" w:firstLine="8"/>
        <w:spacing w:after="0" w:line="253" w:lineRule="auto"/>
        <w:tabs>
          <w:tab w:leader="none" w:pos="2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incurred in connection with the listing of the Shares, (iii) all Transfer Agent fees (including, without limitation, any fees required for same-day processing of any instruction letter delivered by the Company), stamp taxes and other taxes and duties levied in connection with the delivery of any Shares to the Investors, and (iv) all other costs and expenses incident to the performance of its obligations hereunder. It is understood, however, that the Investors will pay all their own costs and expenses, including the fees of their counsel.</w:t>
      </w:r>
    </w:p>
    <w:p>
      <w:pPr>
        <w:spacing w:after="0" w:line="186" w:lineRule="exact"/>
        <w:rPr>
          <w:rFonts w:ascii="Times New Roman" w:cs="Times New Roman" w:eastAsia="Times New Roman" w:hAnsi="Times New Roman"/>
          <w:sz w:val="18"/>
          <w:szCs w:val="18"/>
          <w:color w:val="auto"/>
        </w:rPr>
      </w:pPr>
    </w:p>
    <w:p>
      <w:pPr>
        <w:ind w:left="-8" w:firstLine="656"/>
        <w:spacing w:after="0" w:line="284" w:lineRule="auto"/>
        <w:tabs>
          <w:tab w:leader="none" w:pos="12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Amendment</w:t>
      </w:r>
      <w:r>
        <w:rPr>
          <w:rFonts w:ascii="Times New Roman" w:cs="Times New Roman" w:eastAsia="Times New Roman" w:hAnsi="Times New Roman"/>
          <w:sz w:val="18"/>
          <w:szCs w:val="18"/>
          <w:color w:val="auto"/>
        </w:rPr>
        <w:t>. Neither this Agreement nor any provisions hereof may be modified, changed, discharged or terminated except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in writing, signed by the party against whom any waiver, change, discharge or termination is sought.</w:t>
      </w:r>
    </w:p>
    <w:p>
      <w:pPr>
        <w:spacing w:after="0" w:line="3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22" w:name="page23"/>
    <w:bookmarkEnd w:id="22"/>
    <w:p>
      <w:pPr>
        <w:ind w:left="-40" w:right="20" w:firstLine="656"/>
        <w:spacing w:after="0" w:line="253" w:lineRule="auto"/>
        <w:tabs>
          <w:tab w:leader="none" w:pos="12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Nature of Investors’ Obligations and Rights</w:t>
      </w:r>
      <w:r>
        <w:rPr>
          <w:rFonts w:ascii="Times New Roman" w:cs="Times New Roman" w:eastAsia="Times New Roman" w:hAnsi="Times New Roman"/>
          <w:sz w:val="18"/>
          <w:szCs w:val="18"/>
          <w:color w:val="auto"/>
        </w:rPr>
        <w:t>. The obligations of each Investor under this Agreement are several and not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obligations of any other Investor, and no Investor shall be responsible in any way for the performance or non-performance of the obligations of any other Investor under this Agreement. Nothing contained herein, and no action taken by any Investor pursuant hereto or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this Agreement. Each Investor shall be entitled to independently protect and enforce its rights including, without limitation, the rights arising out of this Agreement, and it shall not be necessary for any other Investor to be joined as an additional party in any proceeding for such purpose. Each Investor has been represented by its own separate legal counsel in its review and negotiation of this Agreement. The Company has elected to provide all Investors with the same terms (including under this Agreement) for the convenience of the Company and not because it was required or requested to do so by any of the Investors. It is expressly understood and agreed that each provision contained in this Agreement is between the Company and an Investor, solely, and not between the Company and the Investors collectively and not between and among the Investors.</w:t>
      </w:r>
    </w:p>
    <w:p>
      <w:pPr>
        <w:spacing w:after="0" w:line="191" w:lineRule="exact"/>
        <w:rPr>
          <w:rFonts w:ascii="Times New Roman" w:cs="Times New Roman" w:eastAsia="Times New Roman" w:hAnsi="Times New Roman"/>
          <w:sz w:val="18"/>
          <w:szCs w:val="18"/>
          <w:color w:val="auto"/>
        </w:rPr>
      </w:pPr>
    </w:p>
    <w:p>
      <w:pPr>
        <w:ind w:left="-40" w:right="140" w:firstLine="656"/>
        <w:spacing w:after="0" w:line="261" w:lineRule="auto"/>
        <w:tabs>
          <w:tab w:leader="none" w:pos="12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Assignability. </w:t>
      </w:r>
      <w:r>
        <w:rPr>
          <w:rFonts w:ascii="Times New Roman" w:cs="Times New Roman" w:eastAsia="Times New Roman" w:hAnsi="Times New Roman"/>
          <w:sz w:val="18"/>
          <w:szCs w:val="18"/>
          <w:color w:val="auto"/>
        </w:rPr>
        <w:t>Neither this Agreement nor any right, remedy, obligation or liability arising hereunder or by reason hereof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assignable by either the Company, on the one hand, or any Investor, on the other hand, without the prior written consent of the other party, except that any Investor may assign this Agreement to (x) any other Investor party and (y) any of its Affiliates (each, a “</w:t>
      </w:r>
      <w:r>
        <w:rPr>
          <w:rFonts w:ascii="Times New Roman" w:cs="Times New Roman" w:eastAsia="Times New Roman" w:hAnsi="Times New Roman"/>
          <w:sz w:val="18"/>
          <w:szCs w:val="18"/>
          <w:b w:val="1"/>
          <w:bCs w:val="1"/>
          <w:color w:val="auto"/>
        </w:rPr>
        <w:t>Permitted Assignee</w:t>
      </w:r>
      <w:r>
        <w:rPr>
          <w:rFonts w:ascii="Times New Roman" w:cs="Times New Roman" w:eastAsia="Times New Roman" w:hAnsi="Times New Roman"/>
          <w:sz w:val="18"/>
          <w:szCs w:val="18"/>
          <w:color w:val="auto"/>
        </w:rPr>
        <w:t>”), and will promptly notify the Company of any such assignment.</w:t>
      </w:r>
    </w:p>
    <w:p>
      <w:pPr>
        <w:spacing w:after="0" w:line="179" w:lineRule="exact"/>
        <w:rPr>
          <w:rFonts w:ascii="Times New Roman" w:cs="Times New Roman" w:eastAsia="Times New Roman" w:hAnsi="Times New Roman"/>
          <w:sz w:val="18"/>
          <w:szCs w:val="18"/>
          <w:color w:val="auto"/>
        </w:rPr>
      </w:pPr>
    </w:p>
    <w:p>
      <w:pPr>
        <w:ind w:left="-40" w:right="220" w:firstLine="656"/>
        <w:spacing w:after="0" w:line="284" w:lineRule="auto"/>
        <w:tabs>
          <w:tab w:leader="none" w:pos="12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 Instruments and Acts. </w:t>
      </w:r>
      <w:r>
        <w:rPr>
          <w:rFonts w:ascii="Times New Roman" w:cs="Times New Roman" w:eastAsia="Times New Roman" w:hAnsi="Times New Roman"/>
          <w:sz w:val="18"/>
          <w:szCs w:val="18"/>
          <w:color w:val="auto"/>
        </w:rPr>
        <w:t>Each of the parties to this Agreement agrees to execute and deliver such further instruments and do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acts as may be reasonably necessary or proper to more effectively carry out the purposes of this Agreement.</w:t>
      </w:r>
    </w:p>
    <w:p>
      <w:pPr>
        <w:spacing w:after="0" w:line="158" w:lineRule="exact"/>
        <w:rPr>
          <w:rFonts w:ascii="Times New Roman" w:cs="Times New Roman" w:eastAsia="Times New Roman" w:hAnsi="Times New Roman"/>
          <w:sz w:val="18"/>
          <w:szCs w:val="18"/>
          <w:color w:val="auto"/>
        </w:rPr>
      </w:pPr>
    </w:p>
    <w:p>
      <w:pPr>
        <w:ind w:left="-40" w:right="240" w:firstLine="656"/>
        <w:spacing w:after="0" w:line="267" w:lineRule="auto"/>
        <w:tabs>
          <w:tab w:leader="none" w:pos="12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COMPANY AND THE INVESTORS IRREVOCABLY WAIVES ANY AND ALL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 BY JURY WITH RESPECT TO ANY LEGAL PROCEEDING ARISING OUT OF THE TRANSACTIONS CONTEMPLATED BY THIS AGREEMENT.</w:t>
      </w:r>
    </w:p>
    <w:p>
      <w:pPr>
        <w:spacing w:after="0" w:line="173" w:lineRule="exact"/>
        <w:rPr>
          <w:rFonts w:ascii="Times New Roman" w:cs="Times New Roman" w:eastAsia="Times New Roman" w:hAnsi="Times New Roman"/>
          <w:sz w:val="18"/>
          <w:szCs w:val="18"/>
          <w:color w:val="auto"/>
        </w:rPr>
      </w:pPr>
    </w:p>
    <w:p>
      <w:pPr>
        <w:ind w:left="-40" w:firstLine="656"/>
        <w:spacing w:after="0" w:line="253" w:lineRule="auto"/>
        <w:tabs>
          <w:tab w:leader="none" w:pos="12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Jurisdiction. </w:t>
      </w:r>
      <w:r>
        <w:rPr>
          <w:rFonts w:ascii="Times New Roman" w:cs="Times New Roman" w:eastAsia="Times New Roman" w:hAnsi="Times New Roman"/>
          <w:sz w:val="18"/>
          <w:szCs w:val="18"/>
          <w:color w:val="auto"/>
        </w:rPr>
        <w:t>This Agreement will be governed by and construed in accordance with the internal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without regard to the principles of conflicts of law thereof. Each party agrees that all legal proceedings concerning the interpretation, enforcement and defense of the transactions contemplated by this Agreement (whether brought against a party hereto or its respective affiliates, directors, officers, shareholders, partners, members, employees or agents) shall be commenced exclusively in the state and federal courts sitting in the City of New York, Borough of Manhattan. Each party hereby irrevocably submits to the exclusive jurisdiction of the state and federal courts sitting in the City of New York, Borough of Manhattan for the adjudication of any dispute hereunder or in connection herewith or with any transaction contemplated hereby,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23" w:name="page24"/>
    <w:bookmarkEnd w:id="23"/>
    <w:p>
      <w:pPr>
        <w:ind w:right="280" w:firstLine="656"/>
        <w:spacing w:after="0" w:line="284" w:lineRule="auto"/>
        <w:tabs>
          <w:tab w:leader="none" w:pos="1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Section and Other Headings. </w:t>
      </w:r>
      <w:r>
        <w:rPr>
          <w:rFonts w:ascii="Times New Roman" w:cs="Times New Roman" w:eastAsia="Times New Roman" w:hAnsi="Times New Roman"/>
          <w:sz w:val="18"/>
          <w:szCs w:val="18"/>
          <w:color w:val="auto"/>
        </w:rPr>
        <w:t>The section and other headings contained in this Agreement are for reference purposes only and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meaning or interpretation of this Agreement.</w:t>
      </w:r>
    </w:p>
    <w:p>
      <w:pPr>
        <w:spacing w:after="0" w:line="158" w:lineRule="exact"/>
        <w:rPr>
          <w:rFonts w:ascii="Times New Roman" w:cs="Times New Roman" w:eastAsia="Times New Roman" w:hAnsi="Times New Roman"/>
          <w:sz w:val="18"/>
          <w:szCs w:val="18"/>
          <w:color w:val="auto"/>
        </w:rPr>
      </w:pPr>
    </w:p>
    <w:p>
      <w:pPr>
        <w:ind w:right="300" w:firstLine="656"/>
        <w:spacing w:after="0" w:line="267" w:lineRule="auto"/>
        <w:tabs>
          <w:tab w:leader="none" w:pos="12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an original and all of which together will be deemed to be one and the same agreement. Delivery of an executed signature page to this Agreement by facsimile or other electronic transmission (including pdf format) will be effective as delivery of a manually executed counterpart hereof.</w:t>
      </w:r>
    </w:p>
    <w:p>
      <w:pPr>
        <w:spacing w:after="0" w:line="173" w:lineRule="exact"/>
        <w:rPr>
          <w:rFonts w:ascii="Times New Roman" w:cs="Times New Roman" w:eastAsia="Times New Roman" w:hAnsi="Times New Roman"/>
          <w:sz w:val="18"/>
          <w:szCs w:val="18"/>
          <w:color w:val="auto"/>
        </w:rPr>
      </w:pPr>
    </w:p>
    <w:p>
      <w:pPr>
        <w:ind w:right="100" w:firstLine="656"/>
        <w:spacing w:after="0" w:line="258" w:lineRule="auto"/>
        <w:tabs>
          <w:tab w:leader="none" w:pos="1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to the Company provided for herein will be in writing and will be deemed to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given if delivered personally or sent by nationally recognized overnight courier service or by registered or certified mail, return receipt requested, postage prepaid to the following addresses (or such other address as either party may have hereafter specified by notice in writing to the other): (i) if to the Company, ACM Research, Inc., 42307 Osgood Road, Suite I, Fremont, California 94539, Attention: Chief Financial Officer and General Counsel; and (ii) if to any Investor, the address provided on the signature page hereto of such Investor.</w:t>
      </w:r>
    </w:p>
    <w:p>
      <w:pPr>
        <w:spacing w:after="0" w:line="183" w:lineRule="exact"/>
        <w:rPr>
          <w:rFonts w:ascii="Times New Roman" w:cs="Times New Roman" w:eastAsia="Times New Roman" w:hAnsi="Times New Roman"/>
          <w:sz w:val="18"/>
          <w:szCs w:val="18"/>
          <w:color w:val="auto"/>
        </w:rPr>
      </w:pPr>
    </w:p>
    <w:p>
      <w:pPr>
        <w:ind w:right="140" w:firstLine="656"/>
        <w:spacing w:after="0" w:line="284" w:lineRule="auto"/>
        <w:tabs>
          <w:tab w:leader="none" w:pos="12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Binding Effect. </w:t>
      </w:r>
      <w:r>
        <w:rPr>
          <w:rFonts w:ascii="Times New Roman" w:cs="Times New Roman" w:eastAsia="Times New Roman" w:hAnsi="Times New Roman"/>
          <w:sz w:val="18"/>
          <w:szCs w:val="18"/>
          <w:color w:val="auto"/>
        </w:rPr>
        <w:t>The provisions of this Agreement will be binding upon and accrue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heirs, legal representatives, successors and permitted assigns.</w:t>
      </w:r>
    </w:p>
    <w:p>
      <w:pPr>
        <w:spacing w:after="0" w:line="158" w:lineRule="exact"/>
        <w:rPr>
          <w:rFonts w:ascii="Times New Roman" w:cs="Times New Roman" w:eastAsia="Times New Roman" w:hAnsi="Times New Roman"/>
          <w:sz w:val="18"/>
          <w:szCs w:val="18"/>
          <w:color w:val="auto"/>
        </w:rPr>
      </w:pPr>
    </w:p>
    <w:p>
      <w:pPr>
        <w:ind w:right="540" w:firstLine="656"/>
        <w:spacing w:after="0" w:line="284" w:lineRule="auto"/>
        <w:tabs>
          <w:tab w:leader="none" w:pos="13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 of Changes. </w:t>
      </w:r>
      <w:r>
        <w:rPr>
          <w:rFonts w:ascii="Times New Roman" w:cs="Times New Roman" w:eastAsia="Times New Roman" w:hAnsi="Times New Roman"/>
          <w:sz w:val="18"/>
          <w:szCs w:val="18"/>
          <w:color w:val="auto"/>
        </w:rPr>
        <w:t>Each Investor covenants and agrees to notify the Company upon the occurrence of any event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that would cause any representation, warranty, or covenant of such Investor contained in this Agreement to be false or incorrect.</w:t>
      </w:r>
    </w:p>
    <w:p>
      <w:pPr>
        <w:spacing w:after="0" w:line="158" w:lineRule="exact"/>
        <w:rPr>
          <w:rFonts w:ascii="Times New Roman" w:cs="Times New Roman" w:eastAsia="Times New Roman" w:hAnsi="Times New Roman"/>
          <w:sz w:val="18"/>
          <w:szCs w:val="18"/>
          <w:color w:val="auto"/>
        </w:rPr>
      </w:pPr>
    </w:p>
    <w:p>
      <w:pPr>
        <w:ind w:right="140" w:firstLine="656"/>
        <w:spacing w:after="0" w:line="315" w:lineRule="auto"/>
        <w:tabs>
          <w:tab w:leader="none" w:pos="130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Survival of Warranties. </w:t>
      </w:r>
      <w:r>
        <w:rPr>
          <w:rFonts w:ascii="Times New Roman" w:cs="Times New Roman" w:eastAsia="Times New Roman" w:hAnsi="Times New Roman"/>
          <w:sz w:val="17"/>
          <w:szCs w:val="17"/>
          <w:color w:val="auto"/>
        </w:rPr>
        <w:t>Unless otherwise set forth in this Agreement, the warranties, representations and covenants of the Company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Investors contained in or made pursuant to this Agreement shall survive the execution and delivery of this Agreement and the delivery of the Shares.</w:t>
      </w:r>
    </w:p>
    <w:p>
      <w:pPr>
        <w:spacing w:after="0" w:line="134" w:lineRule="exact"/>
        <w:rPr>
          <w:rFonts w:ascii="Times New Roman" w:cs="Times New Roman" w:eastAsia="Times New Roman" w:hAnsi="Times New Roman"/>
          <w:sz w:val="17"/>
          <w:szCs w:val="17"/>
          <w:color w:val="auto"/>
        </w:rPr>
      </w:pPr>
    </w:p>
    <w:p>
      <w:pPr>
        <w:ind w:firstLine="656"/>
        <w:spacing w:after="0" w:line="256" w:lineRule="auto"/>
        <w:tabs>
          <w:tab w:leader="none" w:pos="1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Delays or Omissions. </w:t>
      </w:r>
      <w:r>
        <w:rPr>
          <w:rFonts w:ascii="Times New Roman" w:cs="Times New Roman" w:eastAsia="Times New Roman" w:hAnsi="Times New Roman"/>
          <w:sz w:val="18"/>
          <w:szCs w:val="18"/>
          <w:color w:val="auto"/>
        </w:rPr>
        <w:t>No delay or omission to exercise any right, power or remedy accruing to any party under this Agreement, upon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ind w:left="-20" w:right="40" w:firstLine="656"/>
        <w:spacing w:after="0" w:line="257" w:lineRule="auto"/>
        <w:tabs>
          <w:tab w:leader="none" w:pos="12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Specific Performance. </w:t>
      </w:r>
      <w:r>
        <w:rPr>
          <w:rFonts w:ascii="Times New Roman" w:cs="Times New Roman" w:eastAsia="Times New Roman" w:hAnsi="Times New Roman"/>
          <w:sz w:val="18"/>
          <w:szCs w:val="18"/>
          <w:color w:val="auto"/>
        </w:rPr>
        <w:t>The parties agree that irreparable damage for which monetary damages, even if available, would not be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remedy would occur in the event that the parties do not perform their obligations under the provisions of this Agreement in accordance with its specified terms or otherwise breach such provisions. The parties acknowledge and agree that the parties shall be entitled to seeking an injunction or injunctions, specific performance or other equitable relief to prevent breaches of this Agreement and to enforce specifically the terms and provisions hereof without proof of damages or otherwise, this being in addition to any other remedy to which they are entitled under this Agreement at law or in equity, and the right of specific enforcement is an integral part of the transactions contemplated by this Agreement.</w:t>
      </w:r>
    </w:p>
    <w:p>
      <w:pPr>
        <w:spacing w:after="0" w:line="182" w:lineRule="exact"/>
        <w:rPr>
          <w:rFonts w:ascii="Times New Roman" w:cs="Times New Roman" w:eastAsia="Times New Roman" w:hAnsi="Times New Roman"/>
          <w:sz w:val="18"/>
          <w:szCs w:val="18"/>
          <w:color w:val="auto"/>
        </w:rPr>
      </w:pPr>
    </w:p>
    <w:p>
      <w:pPr>
        <w:jc w:val="both"/>
        <w:ind w:left="-20" w:right="160" w:firstLine="656"/>
        <w:spacing w:after="0" w:line="267" w:lineRule="auto"/>
        <w:tabs>
          <w:tab w:leader="none" w:pos="12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If any term or provision of this Agreement is invalid, illegal or unenforceable in any jurisdiction, such invalidity, illegality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unenforceability will not affect any other term or provision of this Agreement or invalidate or render unenforceable such term or provision in any other jurisdiction.</w:t>
      </w:r>
    </w:p>
    <w:p>
      <w:pPr>
        <w:spacing w:after="0" w:line="173" w:lineRule="exact"/>
        <w:rPr>
          <w:rFonts w:ascii="Times New Roman" w:cs="Times New Roman" w:eastAsia="Times New Roman" w:hAnsi="Times New Roman"/>
          <w:sz w:val="18"/>
          <w:szCs w:val="18"/>
          <w:color w:val="auto"/>
        </w:rPr>
      </w:pPr>
    </w:p>
    <w:p>
      <w:pPr>
        <w:ind w:left="-20" w:firstLine="656"/>
        <w:spacing w:after="0" w:line="267" w:lineRule="auto"/>
        <w:tabs>
          <w:tab w:leader="none" w:pos="12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Agreement, including all Schedules and Exhibits hereto, constitutes the entire agreement of the parties hereto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specific subject matter covered hereby, and supersedes in their entirety all other agreements or understandings between or among the parties with respect to such specific subject matter.</w:t>
      </w:r>
    </w:p>
    <w:p>
      <w:pPr>
        <w:spacing w:after="0" w:line="173" w:lineRule="exact"/>
        <w:rPr>
          <w:rFonts w:ascii="Times New Roman" w:cs="Times New Roman" w:eastAsia="Times New Roman" w:hAnsi="Times New Roman"/>
          <w:sz w:val="18"/>
          <w:szCs w:val="18"/>
          <w:color w:val="auto"/>
        </w:rPr>
      </w:pPr>
    </w:p>
    <w:p>
      <w:pPr>
        <w:ind w:left="-20" w:right="20" w:firstLine="656"/>
        <w:spacing w:after="0" w:line="253" w:lineRule="auto"/>
        <w:tabs>
          <w:tab w:leader="none" w:pos="1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w:t>
      </w:r>
      <w:r>
        <w:rPr>
          <w:rFonts w:ascii="Times New Roman" w:cs="Times New Roman" w:eastAsia="Times New Roman" w:hAnsi="Times New Roman"/>
          <w:sz w:val="18"/>
          <w:szCs w:val="18"/>
          <w:color w:val="auto"/>
        </w:rPr>
        <w:t>. This Agreement may only be enforced against, and any claim, action, suit, or other legal proceeding based upon, arising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or related to this Agreement, or the negotiation, execution, or performance of this Agreement, may only be brought against the Investors parties to this Agreement (severally and not jointly), and then only with respect to the specific obligations set forth herein with respect to such Investor, and no past, present or future incorporator, manager, partner, direct or indirect investor, Affiliate of such Investor, or any of their successors or permitted assigns (collectively, “</w:t>
      </w:r>
      <w:r>
        <w:rPr>
          <w:rFonts w:ascii="Times New Roman" w:cs="Times New Roman" w:eastAsia="Times New Roman" w:hAnsi="Times New Roman"/>
          <w:sz w:val="18"/>
          <w:szCs w:val="18"/>
          <w:b w:val="1"/>
          <w:bCs w:val="1"/>
          <w:color w:val="auto"/>
        </w:rPr>
        <w:t>Nonparty Affiliates</w:t>
      </w:r>
      <w:r>
        <w:rPr>
          <w:rFonts w:ascii="Times New Roman" w:cs="Times New Roman" w:eastAsia="Times New Roman" w:hAnsi="Times New Roman"/>
          <w:sz w:val="18"/>
          <w:szCs w:val="18"/>
          <w:color w:val="auto"/>
        </w:rPr>
        <w:t>”), shall have any liability for any obligations or liabilities of any party hereto under this Agreement or for any claim or action based on, in respect of or by reason of the transactions contemplated hereby. Without limiting the foregoing, to the maximum extent permitted by Law, (i) with respect to disputes under or arising out of this Agreement, each party hereby waives and releases any and all rights, claims, demands, or causes of action that may otherwise be available at law or in equity, or granted by statute, to avoid or disregard the entity form of such Investor, or otherwise impose liability of such Investor on any Nonparty Affiliate, whether granted by statute or based on theories of equity, agency, control, instrumentality, alter ego, domination, sham, single business enterprise, piercing the veil, unfairness, undercapitalization, or otherwise, and (ii) each party disclaims any reliance upon any Nonparty Affiliates with respect to the performance of this Agreement or any representation or warranty made in, in connection with, or as an inducement to enter into, this Agreement. Each of the Nonparty Affiliates is an intended third party beneficiary of this Section 9(s).</w:t>
      </w:r>
    </w:p>
    <w:p>
      <w:pPr>
        <w:spacing w:after="0" w:line="187" w:lineRule="exact"/>
        <w:rPr>
          <w:rFonts w:ascii="Times New Roman" w:cs="Times New Roman" w:eastAsia="Times New Roman" w:hAnsi="Times New Roman"/>
          <w:sz w:val="18"/>
          <w:szCs w:val="18"/>
          <w:color w:val="auto"/>
        </w:rPr>
      </w:pPr>
    </w:p>
    <w:p>
      <w:pPr>
        <w:ind w:left="-20" w:right="120" w:firstLine="656"/>
        <w:spacing w:after="0" w:line="256" w:lineRule="auto"/>
        <w:tabs>
          <w:tab w:leader="none" w:pos="12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Publicity</w:t>
      </w:r>
      <w:r>
        <w:rPr>
          <w:rFonts w:ascii="Times New Roman" w:cs="Times New Roman" w:eastAsia="Times New Roman" w:hAnsi="Times New Roman"/>
          <w:sz w:val="18"/>
          <w:szCs w:val="18"/>
          <w:color w:val="auto"/>
        </w:rPr>
        <w:t>. The Company shall not use any Investor’s (and/or any Investor’s advisor or management company) name(s), or that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 or employee of the Investors, nor any trade name, trademark, trade device, service mark, symbol or any abbreviation, contraction or simulation thereof owned by the other party, or any of its Affiliates, in any manner, context or format (including reference on or links to websites, press releases, etc.) without the prior written consent (email being sufficient) of such Investor, unless used (a) upon the advice of counsel to the Company that such use is required by applicable law, including pursuant to the Company’s public reporting obligations or (b) as part of a press release and/or public SEC filing by the Company announcing an agreement and/or consummation of a transaction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Investors shall have reasonable prior opportunity to review and comment on any such disclosure, which comments shall be reasonably included by the Company.</w:t>
      </w:r>
    </w:p>
    <w:p>
      <w:pPr>
        <w:spacing w:after="0" w:line="18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Pages Follow</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to this Agreement have caused this Agreement to be duly executed as of the date first written above.</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Investor: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392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Legal Name</w:t>
            </w:r>
          </w:p>
        </w:tc>
      </w:tr>
      <w:tr>
        <w:trPr>
          <w:trHeight w:val="421"/>
        </w:trPr>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20" w:type="dxa"/>
            <w:vAlign w:val="bottom"/>
            <w:tcBorders>
              <w:top w:val="single" w:sz="8" w:color="auto"/>
            </w:tcBorders>
          </w:tcPr>
          <w:p>
            <w:pPr>
              <w:ind w:left="1120"/>
              <w:spacing w:after="0" w:line="198"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1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Title:</w:t>
            </w:r>
          </w:p>
        </w:tc>
      </w:tr>
      <w:tr>
        <w:trPr>
          <w:trHeight w:val="43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9"/>
              </w:rPr>
              <w:t>Subscription Amount: $</w:t>
            </w:r>
          </w:p>
        </w:tc>
        <w:tc>
          <w:tcPr>
            <w:tcW w:w="1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920" w:type="dxa"/>
            <w:vAlign w:val="bottom"/>
            <w:tcBorders>
              <w:bottom w:val="single" w:sz="8" w:color="auto"/>
            </w:tcBorders>
          </w:tcPr>
          <w:p>
            <w:pPr>
              <w:spacing w:after="0"/>
              <w:rPr>
                <w:sz w:val="24"/>
                <w:szCs w:val="24"/>
                <w:color w:val="auto"/>
              </w:rPr>
            </w:pPr>
          </w:p>
        </w:tc>
      </w:tr>
      <w:tr>
        <w:trPr>
          <w:trHeight w:val="64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Address:</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r>
      <w:tr>
        <w:trPr>
          <w:trHeight w:val="453"/>
        </w:trPr>
        <w:tc>
          <w:tcPr>
            <w:tcW w:w="1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4"/>
                <w:szCs w:val="24"/>
                <w:color w:val="auto"/>
              </w:rPr>
            </w:pPr>
          </w:p>
        </w:tc>
      </w:tr>
      <w:tr>
        <w:trPr>
          <w:trHeight w:val="452"/>
        </w:trPr>
        <w:tc>
          <w:tcPr>
            <w:tcW w:w="1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Number:</w:t>
            </w:r>
          </w:p>
        </w:tc>
      </w:tr>
      <w:tr>
        <w:trPr>
          <w:trHeight w:val="453"/>
        </w:trPr>
        <w:tc>
          <w:tcPr>
            <w:tcW w:w="1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 (and, if applicable, State) of Residence:</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53"/>
        </w:trPr>
        <w:tc>
          <w:tcPr>
            <w:tcW w:w="1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gridSpan w:val="2"/>
          </w:tcPr>
          <w:p>
            <w:pPr>
              <w:spacing w:after="0"/>
              <w:rPr>
                <w:sz w:val="24"/>
                <w:szCs w:val="24"/>
                <w:color w:val="auto"/>
              </w:rPr>
            </w:pPr>
          </w:p>
        </w:tc>
        <w:tc>
          <w:tcPr>
            <w:tcW w:w="5040" w:type="dxa"/>
            <w:vAlign w:val="bottom"/>
            <w:gridSpan w:val="2"/>
          </w:tcPr>
          <w:p>
            <w:pPr>
              <w:spacing w:after="0"/>
              <w:rPr>
                <w:sz w:val="24"/>
                <w:szCs w:val="24"/>
                <w:color w:val="auto"/>
              </w:rPr>
            </w:pPr>
          </w:p>
        </w:tc>
      </w:tr>
      <w:tr>
        <w:trPr>
          <w:trHeight w:val="648"/>
        </w:trPr>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tc>
      </w:tr>
      <w:tr>
        <w:trPr>
          <w:trHeight w:val="398"/>
        </w:trPr>
        <w:tc>
          <w:tcPr>
            <w:tcW w:w="1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6" w:name="page27"/>
    <w:bookmarkEnd w:id="26"/>
    <w:p>
      <w:pPr>
        <w:ind w:left="5080"/>
        <w:spacing w:after="0"/>
        <w:rPr>
          <w:sz w:val="20"/>
          <w:szCs w:val="20"/>
          <w:color w:val="auto"/>
        </w:rPr>
      </w:pPr>
      <w:r>
        <w:rPr>
          <w:rFonts w:ascii="Times New Roman" w:cs="Times New Roman" w:eastAsia="Times New Roman" w:hAnsi="Times New Roman"/>
          <w:sz w:val="18"/>
          <w:szCs w:val="18"/>
          <w:color w:val="auto"/>
        </w:rPr>
        <w:t>ACM R</w:t>
      </w:r>
      <w:r>
        <w:rPr>
          <w:rFonts w:ascii="Times New Roman" w:cs="Times New Roman" w:eastAsia="Times New Roman" w:hAnsi="Times New Roman"/>
          <w:sz w:val="12"/>
          <w:szCs w:val="12"/>
          <w:color w:val="auto"/>
        </w:rPr>
        <w:t>esearch</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26035</wp:posOffset>
            </wp:positionV>
            <wp:extent cx="27774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2"/>
    </w:lvl>
  </w:abstractNum>
  <w:abstractNum w:abstractNumId="8">
    <w:nsid w:val="431BD7B7"/>
    <w:multiLevelType w:val="hybridMultilevel"/>
    <w:lvl w:ilvl="0">
      <w:lvlJc w:val="left"/>
      <w:lvlText w:val="(%1)"/>
      <w:numFmt w:val="lowerLetter"/>
      <w:start w:val="4"/>
    </w:lvl>
  </w:abstractNum>
  <w:abstractNum w:abstractNumId="9">
    <w:nsid w:val="3F2DBA31"/>
    <w:multiLevelType w:val="hybridMultilevel"/>
    <w:lvl w:ilvl="0">
      <w:lvlJc w:val="left"/>
      <w:lvlText w:val="(%1)"/>
      <w:numFmt w:val="lowerLetter"/>
      <w:start w:val="9"/>
    </w:lvl>
  </w:abstractNum>
  <w:abstractNum w:abstractNumId="10">
    <w:nsid w:val="7C83E458"/>
    <w:multiLevelType w:val="hybridMultilevel"/>
    <w:lvl w:ilvl="0">
      <w:lvlJc w:val="left"/>
      <w:lvlText w:val="(%1)"/>
      <w:numFmt w:val="lowerLetter"/>
      <w:start w:val="14"/>
    </w:lvl>
  </w:abstractNum>
  <w:abstractNum w:abstractNumId="11">
    <w:nsid w:val="257130A3"/>
    <w:multiLevelType w:val="hybridMultilevel"/>
    <w:lvl w:ilvl="0">
      <w:lvlJc w:val="left"/>
      <w:lvlText w:val="(%1)"/>
      <w:numFmt w:val="lowerLetter"/>
      <w:start w:val="18"/>
    </w:lvl>
  </w:abstractNum>
  <w:abstractNum w:abstractNumId="12">
    <w:nsid w:val="62BBD95A"/>
    <w:multiLevelType w:val="hybridMultilevel"/>
    <w:lvl w:ilvl="0">
      <w:lvlJc w:val="left"/>
      <w:lvlText w:val="(%1)"/>
      <w:numFmt w:val="lowerLetter"/>
      <w:start w:val="23"/>
    </w:lvl>
  </w:abstractNum>
  <w:abstractNum w:abstractNumId="13">
    <w:nsid w:val="436C6125"/>
    <w:multiLevelType w:val="hybridMultilevel"/>
    <w:lvl w:ilvl="0">
      <w:lvlJc w:val="left"/>
      <w:lvlText w:val="(%1)"/>
      <w:numFmt w:val="lowerLetter"/>
      <w:start w:val="27"/>
    </w:lvl>
  </w:abstractNum>
  <w:abstractNum w:abstractNumId="14">
    <w:nsid w:val="628C895D"/>
    <w:multiLevelType w:val="hybridMultilevel"/>
    <w:lvl w:ilvl="0">
      <w:lvlJc w:val="left"/>
      <w:lvlText w:val="(%1)"/>
      <w:numFmt w:val="lowerLetter"/>
      <w:start w:val="29"/>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lvl w:ilvl="1">
      <w:lvlJc w:val="left"/>
      <w:lvlText w:val="(%2)"/>
      <w:numFmt w:val="lowerRoman"/>
      <w:start w:val="1"/>
    </w:lvl>
  </w:abstractNum>
  <w:abstractNum w:abstractNumId="17">
    <w:nsid w:val="2443A858"/>
    <w:multiLevelType w:val="hybridMultilevel"/>
    <w:lvl w:ilvl="0">
      <w:lvlJc w:val="left"/>
      <w:lvlText w:val="%1"/>
      <w:numFmt w:val="lowerLetter"/>
      <w:start w:val="1"/>
    </w:lvl>
    <w:lvl w:ilvl="1">
      <w:lvlJc w:val="left"/>
      <w:lvlText w:val="(%2)"/>
      <w:numFmt w:val="lowerRoman"/>
      <w:start w:val="3"/>
    </w:lvl>
  </w:abstractNum>
  <w:abstractNum w:abstractNumId="18">
    <w:nsid w:val="2D1D5AE9"/>
    <w:multiLevelType w:val="hybridMultilevel"/>
    <w:lvl w:ilvl="0">
      <w:lvlJc w:val="left"/>
      <w:lvlText w:val="(%1)"/>
      <w:numFmt w:val="lowerLetter"/>
      <w:start w:val="2"/>
    </w:lvl>
    <w:lvl w:ilvl="1">
      <w:lvlJc w:val="left"/>
      <w:lvlText w:val="(%2)"/>
      <w:numFmt w:val="lowerRoman"/>
      <w:start w:val="1"/>
    </w:lvl>
  </w:abstractNum>
  <w:abstractNum w:abstractNumId="19">
    <w:nsid w:val="6763845E"/>
    <w:multiLevelType w:val="hybridMultilevel"/>
    <w:lvl w:ilvl="0">
      <w:lvlJc w:val="left"/>
      <w:lvlText w:val="(%1)"/>
      <w:numFmt w:val="lowerRoman"/>
      <w:start w:val="9"/>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lvl w:ilvl="1">
      <w:lvlJc w:val="left"/>
      <w:lvlText w:val="(%2)"/>
      <w:numFmt w:val="lowerLetter"/>
      <w:start w:val="1"/>
    </w:lvl>
  </w:abstractNum>
  <w:abstractNum w:abstractNumId="23">
    <w:nsid w:val="4353D0CD"/>
    <w:multiLevelType w:val="hybridMultilevel"/>
    <w:lvl w:ilvl="0">
      <w:lvlJc w:val="left"/>
      <w:lvlText w:val="(%1)"/>
      <w:numFmt w:val="lowerLetter"/>
      <w:start w:val="35"/>
    </w:lvl>
    <w:lvl w:ilvl="1">
      <w:lvlJc w:val="left"/>
      <w:lvlText w:val="(%2)"/>
      <w:numFmt w:val="lowerLetter"/>
      <w:start w:val="3"/>
    </w:lvl>
  </w:abstractNum>
  <w:abstractNum w:abstractNumId="24">
    <w:nsid w:val="B03E0C6"/>
    <w:multiLevelType w:val="hybridMultilevel"/>
    <w:lvl w:ilvl="0">
      <w:lvlJc w:val="left"/>
      <w:lvlText w:val="(%1)"/>
      <w:numFmt w:val="lowerLetter"/>
      <w:start w:val="4"/>
    </w:lvl>
  </w:abstractNum>
  <w:abstractNum w:abstractNumId="25">
    <w:nsid w:val="189A769B"/>
    <w:multiLevelType w:val="hybridMultilevel"/>
    <w:lvl w:ilvl="0">
      <w:lvlJc w:val="left"/>
      <w:lvlText w:val="(%1)"/>
      <w:numFmt w:val="lowerLetter"/>
      <w:start w:val="9"/>
    </w:lvl>
  </w:abstractNum>
  <w:abstractNum w:abstractNumId="26">
    <w:nsid w:val="54E49EB4"/>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2026-05-12T07:47:13Z</dcterms:created>
  <dcterms:modified xsi:type="dcterms:W3CDTF">2026-05-12T07:47:13Z</dcterms:modified>
</cp:coreProperties>
</file>