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Fuping</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740"/>
        <w:spacing w:after="0" w:line="346"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09/14/2021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60"/>
        <w:spacing w:after="0"/>
        <w:rPr>
          <w:sz w:val="20"/>
          <w:szCs w:val="20"/>
          <w:color w:val="auto"/>
        </w:rPr>
      </w:pPr>
      <w:r>
        <w:rPr>
          <w:rFonts w:ascii="Arial" w:cs="Arial" w:eastAsia="Arial" w:hAnsi="Arial"/>
          <w:sz w:val="17"/>
          <w:szCs w:val="17"/>
          <w:color w:val="0000FF"/>
        </w:rPr>
        <w:t>See remarks</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40"/>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94539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10,000</w:t>
            </w:r>
            <w:r>
              <w:rPr>
                <w:rFonts w:ascii="Arial" w:cs="Arial" w:eastAsia="Arial" w:hAnsi="Arial"/>
                <w:sz w:val="21"/>
                <w:szCs w:val="21"/>
                <w:color w:val="008000"/>
                <w:vertAlign w:val="superscript"/>
              </w:rPr>
              <w:t>(1)</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85.27</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09/14/2021</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5"/>
                <w:szCs w:val="5"/>
                <w:color w:val="auto"/>
              </w:rPr>
            </w:pPr>
          </w:p>
        </w:tc>
        <w:tc>
          <w:tcPr>
            <w:tcW w:w="76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09/14/2021</w:t>
            </w: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07/27/2030</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July 28, 2020, the reporting person was granted an option to purchase 20,000 shares of Class A Common Stock of the Issuer. The option vests and becomes exercisable as to 10,000 shares upon the Issuer's receipt of its first demo tool order from a specified semiconductor company and as to the other 10,000 shares, upon the qualification of the Issuer's first demo tool for such semiconductor company. The performance criteria for the first 10,000 shares was met, resulting in vesting of the option as to 10,000 shares.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Sales-China of ACM Research (Shanghai), Inc., a subsidiary of the Issuer</w:t>
      </w:r>
    </w:p>
    <w:p>
      <w:pPr>
        <w:sectPr>
          <w:pgSz w:w="11900" w:h="16838" w:orient="portrait"/>
          <w:cols w:equalWidth="0" w:num="1">
            <w:col w:w="11080"/>
          </w:cols>
          <w:pgMar w:left="460" w:top="221" w:right="359" w:bottom="1440" w:gutter="0" w:footer="0" w:header="0"/>
          <w:type w:val="continuous"/>
        </w:sectPr>
      </w:pPr>
    </w:p>
    <w:p>
      <w:pPr>
        <w:spacing w:after="0" w:line="70"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 for Fuping 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031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1875"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8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0000FF"/>
        </w:rPr>
        <w:t>09/16/2021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1"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9184"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2021-09-16T15:34:06Z</dcterms:created>
  <dcterms:modified xsi:type="dcterms:W3CDTF">2021-09-16T15:34:06Z</dcterms:modified>
</cp:coreProperties>
</file>