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Chen Fufa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23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11/02/2017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ACM Research,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ACMR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ACM RESEARCH,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42307 OSGOOD ROAD, SUITE I</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FREMONT   CA</w:t>
            </w:r>
          </w:p>
        </w:tc>
        <w:tc>
          <w:tcPr>
            <w:tcW w:w="840" w:type="dxa"/>
            <w:vAlign w:val="bottom"/>
          </w:tcPr>
          <w:p>
            <w:pPr>
              <w:jc w:val="right"/>
              <w:spacing w:after="0"/>
              <w:rPr>
                <w:sz w:val="20"/>
                <w:szCs w:val="20"/>
                <w:color w:val="auto"/>
              </w:rPr>
            </w:pPr>
            <w:r>
              <w:rPr>
                <w:rFonts w:ascii="Arial" w:cs="Arial" w:eastAsia="Arial" w:hAnsi="Arial"/>
                <w:sz w:val="18"/>
                <w:szCs w:val="18"/>
                <w:color w:val="0000FF"/>
              </w:rPr>
              <w:t>94539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66"/>
        <w:spacing w:after="0"/>
        <w:rPr>
          <w:sz w:val="20"/>
          <w:szCs w:val="20"/>
          <w:color w:val="auto"/>
        </w:rPr>
      </w:pPr>
      <w:r>
        <w:rPr>
          <w:rFonts w:ascii="Arial" w:cs="Arial" w:eastAsia="Arial" w:hAnsi="Arial"/>
          <w:sz w:val="18"/>
          <w:szCs w:val="18"/>
          <w:color w:val="0000FF"/>
        </w:rPr>
        <w:t>See Remarks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20" w:type="dxa"/>
            <w:vAlign w:val="bottom"/>
          </w:tcPr>
          <w:p>
            <w:pPr>
              <w:ind w:left="620"/>
              <w:spacing w:after="0"/>
              <w:rPr>
                <w:sz w:val="20"/>
                <w:szCs w:val="20"/>
                <w:color w:val="auto"/>
              </w:rPr>
            </w:pPr>
            <w:r>
              <w:rPr>
                <w:rFonts w:ascii="Arial" w:cs="Arial" w:eastAsia="Arial" w:hAnsi="Arial"/>
                <w:sz w:val="18"/>
                <w:szCs w:val="18"/>
                <w:color w:val="0000FF"/>
              </w:rPr>
              <w:t>73,334</w:t>
            </w:r>
          </w:p>
        </w:tc>
        <w:tc>
          <w:tcPr>
            <w:tcW w:w="740" w:type="dxa"/>
            <w:vAlign w:val="bottom"/>
          </w:tcPr>
          <w:p>
            <w:pPr>
              <w:ind w:left="4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40" w:type="dxa"/>
            <w:vAlign w:val="bottom"/>
          </w:tcPr>
          <w:p>
            <w:pPr>
              <w:ind w:left="12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20" w:type="dxa"/>
            <w:vAlign w:val="bottom"/>
          </w:tcPr>
          <w:p>
            <w:pPr>
              <w:spacing w:after="0"/>
              <w:rPr>
                <w:sz w:val="12"/>
                <w:szCs w:val="12"/>
                <w:color w:val="auto"/>
              </w:rPr>
            </w:pPr>
          </w:p>
        </w:tc>
        <w:tc>
          <w:tcPr>
            <w:tcW w:w="7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2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05/01/2021</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jc w:val="right"/>
              <w:ind w:right="207"/>
              <w:spacing w:after="0"/>
              <w:rPr>
                <w:sz w:val="20"/>
                <w:szCs w:val="20"/>
                <w:color w:val="auto"/>
              </w:rPr>
            </w:pPr>
            <w:r>
              <w:rPr>
                <w:rFonts w:ascii="Arial" w:cs="Arial" w:eastAsia="Arial" w:hAnsi="Arial"/>
                <w:sz w:val="18"/>
                <w:szCs w:val="18"/>
                <w:color w:val="0000FF"/>
              </w:rPr>
              <w:t>0.75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05/01/2025</w:t>
            </w:r>
          </w:p>
        </w:tc>
        <w:tc>
          <w:tcPr>
            <w:tcW w:w="2020" w:type="dxa"/>
            <w:vAlign w:val="bottom"/>
          </w:tcPr>
          <w:p>
            <w:pPr>
              <w:ind w:left="200"/>
              <w:spacing w:after="0"/>
              <w:rPr>
                <w:sz w:val="20"/>
                <w:szCs w:val="20"/>
                <w:color w:val="auto"/>
              </w:rPr>
            </w:pPr>
            <w:r>
              <w:rPr>
                <w:rFonts w:ascii="Arial" w:cs="Arial" w:eastAsia="Arial" w:hAnsi="Arial"/>
                <w:sz w:val="18"/>
                <w:szCs w:val="18"/>
                <w:color w:val="0000FF"/>
                <w:w w:val="94"/>
              </w:rPr>
              <w:t>Class A Common Stock</w:t>
            </w:r>
          </w:p>
        </w:tc>
        <w:tc>
          <w:tcPr>
            <w:tcW w:w="740" w:type="dxa"/>
            <w:vAlign w:val="bottom"/>
          </w:tcPr>
          <w:p>
            <w:pPr>
              <w:ind w:left="160"/>
              <w:spacing w:after="0"/>
              <w:rPr>
                <w:sz w:val="20"/>
                <w:szCs w:val="20"/>
                <w:color w:val="auto"/>
              </w:rPr>
            </w:pPr>
            <w:r>
              <w:rPr>
                <w:rFonts w:ascii="Arial" w:cs="Arial" w:eastAsia="Arial" w:hAnsi="Arial"/>
                <w:sz w:val="18"/>
                <w:szCs w:val="18"/>
                <w:color w:val="0000FF"/>
              </w:rPr>
              <w:t>33,334</w:t>
            </w:r>
          </w:p>
        </w:tc>
        <w:tc>
          <w:tcPr>
            <w:tcW w:w="880" w:type="dxa"/>
            <w:vAlign w:val="bottom"/>
          </w:tcPr>
          <w:p>
            <w:pPr>
              <w:jc w:val="right"/>
              <w:ind w:right="247"/>
              <w:spacing w:after="0"/>
              <w:rPr>
                <w:sz w:val="20"/>
                <w:szCs w:val="20"/>
                <w:color w:val="auto"/>
              </w:rPr>
            </w:pPr>
            <w:r>
              <w:rPr>
                <w:rFonts w:ascii="Arial" w:cs="Arial" w:eastAsia="Arial" w:hAnsi="Arial"/>
                <w:sz w:val="18"/>
                <w:szCs w:val="18"/>
                <w:color w:val="0000FF"/>
              </w:rPr>
              <w:t>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is fully vested and exercisable.</w:t>
      </w:r>
    </w:p>
    <w:p>
      <w:pPr>
        <w:spacing w:after="0" w:line="41"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vested and became exercisable as to 8,333 shares on May 1, 2016 and the remaining 25,001 shares vest and become exercisable in equal monthly installments over the following 36 months, subject to continued service through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Vice President, Sales of ACM Research (Shanghai), Inc., a subsidiary of the Issuer</w:t>
      </w:r>
    </w:p>
    <w:p>
      <w:pPr>
        <w:ind w:left="6860"/>
        <w:spacing w:after="0" w:line="184" w:lineRule="auto"/>
        <w:rPr>
          <w:sz w:val="20"/>
          <w:szCs w:val="20"/>
          <w:color w:val="auto"/>
        </w:rPr>
      </w:pPr>
      <w:r>
        <w:rPr>
          <w:rFonts w:ascii="Arial" w:cs="Arial" w:eastAsia="Arial" w:hAnsi="Arial"/>
          <w:sz w:val="17"/>
          <w:szCs w:val="17"/>
          <w:color w:val="0000FF"/>
        </w:rPr>
        <w:t xml:space="preserve">/s/ Mark L. Johnson, Attorney- </w:t>
      </w:r>
      <w:r>
        <w:rPr>
          <w:rFonts w:ascii="Arial" w:cs="Arial" w:eastAsia="Arial" w:hAnsi="Arial"/>
          <w:sz w:val="34"/>
          <w:szCs w:val="34"/>
          <w:color w:val="0000FF"/>
          <w:vertAlign w:val="subscript"/>
        </w:rPr>
        <w:t>11/02/2017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11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Fufa 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9690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6901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721376" TargetMode="External"/><Relationship Id="rId12"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2019-12-04T02:41:41Z</dcterms:created>
  <dcterms:modified xsi:type="dcterms:W3CDTF">2019-12-04T02:41:41Z</dcterms:modified>
</cp:coreProperties>
</file>