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67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675245"/>
                    </a:xfrm>
                    <a:prstGeom prst="rect">
                      <a:avLst/>
                    </a:prstGeom>
                    <a:noFill/>
                  </pic:spPr>
                </pic:pic>
              </a:graphicData>
            </a:graphic>
          </wp:anchor>
        </w:drawing>
      </w:r>
    </w:p>
    <w:p>
      <w:pPr>
        <w:spacing w:after="0" w:line="96" w:lineRule="exact"/>
        <w:rPr>
          <w:sz w:val="24"/>
          <w:szCs w:val="24"/>
          <w:color w:val="auto"/>
        </w:rPr>
      </w:pPr>
    </w:p>
    <w:p>
      <w:pPr>
        <w:sectPr>
          <w:pgSz w:w="11900" w:h="16882"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Wang David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780"/>
        <w:spacing w:after="0" w:line="366" w:lineRule="auto"/>
        <w:rPr>
          <w:sz w:val="20"/>
          <w:szCs w:val="20"/>
          <w:color w:val="auto"/>
        </w:rPr>
      </w:pPr>
      <w:r>
        <w:rPr>
          <w:rFonts w:ascii="Arial" w:cs="Arial" w:eastAsia="Arial" w:hAnsi="Arial"/>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ACM Research,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ACMR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203"/>
        <w:spacing w:after="0"/>
        <w:rPr>
          <w:sz w:val="20"/>
          <w:szCs w:val="20"/>
          <w:color w:val="auto"/>
        </w:rPr>
      </w:pPr>
      <w:r>
        <w:rPr>
          <w:rFonts w:ascii="Arial" w:cs="Arial" w:eastAsia="Arial" w:hAnsi="Arial"/>
          <w:sz w:val="18"/>
          <w:szCs w:val="18"/>
          <w:color w:val="0000FF"/>
        </w:rPr>
        <w:t>See remarks</w:t>
      </w:r>
    </w:p>
    <w:p>
      <w:pPr>
        <w:spacing w:after="0" w:line="422" w:lineRule="exact"/>
        <w:rPr>
          <w:sz w:val="24"/>
          <w:szCs w:val="24"/>
          <w:color w:val="auto"/>
        </w:rPr>
      </w:pPr>
    </w:p>
    <w:p>
      <w:pPr>
        <w:sectPr>
          <w:pgSz w:w="11900" w:h="16882" w:orient="portrait"/>
          <w:cols w:equalWidth="0" w:num="3">
            <w:col w:w="3360" w:space="720"/>
            <w:col w:w="3257" w:space="720"/>
            <w:col w:w="3363"/>
          </w:cols>
          <w:pgMar w:left="240" w:top="226" w:right="239" w:bottom="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FREMONT</w:t>
            </w:r>
          </w:p>
        </w:tc>
        <w:tc>
          <w:tcPr>
            <w:tcW w:w="1060" w:type="dxa"/>
            <w:vAlign w:val="bottom"/>
          </w:tcPr>
          <w:p>
            <w:pPr>
              <w:ind w:left="22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94539</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82"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40" w:type="dxa"/>
            <w:vAlign w:val="bottom"/>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jc w:val="center"/>
              <w:ind w:right="339"/>
              <w:spacing w:after="0"/>
              <w:rPr>
                <w:sz w:val="20"/>
                <w:szCs w:val="20"/>
                <w:color w:val="auto"/>
              </w:rPr>
            </w:pPr>
            <w:r>
              <w:rPr>
                <w:rFonts w:ascii="Arial" w:cs="Arial" w:eastAsia="Arial" w:hAnsi="Arial"/>
                <w:sz w:val="12"/>
                <w:szCs w:val="12"/>
                <w:b w:val="1"/>
                <w:bCs w:val="1"/>
                <w:color w:val="auto"/>
                <w:w w:val="95"/>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7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08/23/2019</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D</w:t>
            </w:r>
          </w:p>
        </w:tc>
        <w:tc>
          <w:tcPr>
            <w:tcW w:w="7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28,661</w:t>
            </w:r>
          </w:p>
        </w:tc>
        <w:tc>
          <w:tcPr>
            <w:tcW w:w="1400" w:type="dxa"/>
            <w:vAlign w:val="bottom"/>
            <w:tcBorders>
              <w:bottom w:val="single" w:sz="8" w:color="2C2C2C"/>
            </w:tcBorders>
            <w:gridSpan w:val="2"/>
          </w:tcPr>
          <w:p>
            <w:pPr>
              <w:jc w:val="center"/>
              <w:ind w:left="90"/>
              <w:spacing w:after="0"/>
              <w:rPr>
                <w:sz w:val="20"/>
                <w:szCs w:val="20"/>
                <w:color w:val="auto"/>
              </w:rPr>
            </w:pPr>
            <w:r>
              <w:rPr>
                <w:rFonts w:ascii="Arial" w:cs="Arial" w:eastAsia="Arial" w:hAnsi="Arial"/>
                <w:sz w:val="18"/>
                <w:szCs w:val="18"/>
                <w:color w:val="0000FF"/>
                <w:w w:val="97"/>
              </w:rPr>
              <w:t xml:space="preserve">D   </w:t>
            </w:r>
            <w:r>
              <w:rPr>
                <w:rFonts w:ascii="Arial" w:cs="Arial" w:eastAsia="Arial" w:hAnsi="Arial"/>
                <w:sz w:val="18"/>
                <w:szCs w:val="18"/>
                <w:color w:val="000000"/>
                <w:w w:val="97"/>
              </w:rPr>
              <w:t>$</w:t>
            </w:r>
            <w:r>
              <w:rPr>
                <w:rFonts w:ascii="Arial" w:cs="Arial" w:eastAsia="Arial" w:hAnsi="Arial"/>
                <w:sz w:val="18"/>
                <w:szCs w:val="18"/>
                <w:color w:val="0000FF"/>
                <w:w w:val="97"/>
              </w:rPr>
              <w:t>13.195</w:t>
            </w:r>
            <w:r>
              <w:rPr>
                <w:rFonts w:ascii="Arial" w:cs="Arial" w:eastAsia="Arial" w:hAnsi="Arial"/>
                <w:sz w:val="22"/>
                <w:szCs w:val="22"/>
                <w:color w:val="008000"/>
                <w:w w:val="97"/>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168,006</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0000FF"/>
              </w:rPr>
              <w:t>By Sophia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0000FF"/>
              </w:rPr>
              <w:t>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0000FF"/>
                <w:w w:val="87"/>
              </w:rPr>
              <w:t>15,279</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40" w:type="dxa"/>
            <w:vAlign w:val="bottom"/>
          </w:tcPr>
          <w:p>
            <w:pPr>
              <w:ind w:left="60"/>
              <w:spacing w:after="0"/>
              <w:rPr>
                <w:sz w:val="20"/>
                <w:szCs w:val="20"/>
                <w:color w:val="auto"/>
              </w:rPr>
            </w:pPr>
            <w:r>
              <w:rPr>
                <w:rFonts w:ascii="Arial" w:cs="Arial" w:eastAsia="Arial" w:hAnsi="Arial"/>
                <w:sz w:val="18"/>
                <w:szCs w:val="18"/>
                <w:color w:val="0000FF"/>
                <w:w w:val="94"/>
              </w:rPr>
              <w:t>daughter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0000FF"/>
              </w:rPr>
              <w:t>David 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0000FF"/>
              </w:rPr>
              <w:t>Wang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0000FF"/>
              </w:rPr>
              <w:t>By David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0000FF"/>
              </w:rPr>
              <w:t>Hui 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0000FF"/>
              </w:rPr>
              <w:t>and Jing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0000FF"/>
              </w:rPr>
              <w:t>Chen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0000FF"/>
                <w:w w:val="87"/>
              </w:rPr>
              <w:t>60,000</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40" w:type="dxa"/>
            <w:vAlign w:val="bottom"/>
          </w:tcPr>
          <w:p>
            <w:pPr>
              <w:ind w:left="60"/>
              <w:spacing w:after="0"/>
              <w:rPr>
                <w:sz w:val="20"/>
                <w:szCs w:val="20"/>
                <w:color w:val="auto"/>
              </w:rPr>
            </w:pPr>
            <w:r>
              <w:rPr>
                <w:rFonts w:ascii="Arial" w:cs="Arial" w:eastAsia="Arial" w:hAnsi="Arial"/>
                <w:sz w:val="18"/>
                <w:szCs w:val="18"/>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0000FF"/>
                <w:w w:val="96"/>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0000FF"/>
              </w:rPr>
              <w:t>Trust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0000FF"/>
              </w:rPr>
              <w:t>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0000FF"/>
              </w:rPr>
              <w:t>Children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0000FF"/>
              </w:rPr>
              <w:t>By Wang-</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0000FF"/>
              </w:rPr>
              <w:t>Chen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0000FF"/>
                <w:w w:val="89"/>
              </w:rPr>
              <w:t>206,667</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40" w:type="dxa"/>
            <w:vAlign w:val="bottom"/>
          </w:tcPr>
          <w:p>
            <w:pPr>
              <w:ind w:left="60"/>
              <w:spacing w:after="0"/>
              <w:rPr>
                <w:sz w:val="20"/>
                <w:szCs w:val="20"/>
                <w:color w:val="auto"/>
              </w:rPr>
            </w:pPr>
            <w:r>
              <w:rPr>
                <w:rFonts w:ascii="Arial" w:cs="Arial" w:eastAsia="Arial" w:hAnsi="Arial"/>
                <w:sz w:val="18"/>
                <w:szCs w:val="18"/>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0000FF"/>
              </w:rPr>
              <w:t>Living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8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a public offering of Class A Common Stock by the Issuer, the reporting person and certain other stockholders entered into an Equity Purchase Agreement dated August 4, 2019 pursuant to which the reporting person and such stockholders agreed to sell, and the Issuer agreed to purchase, shares of the Issuer's Common Stock funded by the net proceeds, if any, from the Issuer's sale of Class A Common Stock pursuant to an exercise of the underwriters' over-allotment option. The transaction being reported relates to the reporting person's sale under the Equity Purchase Agreement. The obligations of the parties to the Equity Purchase Agreement became fixed and irrevocable as of the transaction date, which is the date of the closing of the underwriters' over-allotment option.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Chief Executive Officer, President and Director</w:t>
      </w:r>
    </w:p>
    <w:p>
      <w:pPr>
        <w:sectPr>
          <w:pgSz w:w="11900" w:h="16882" w:orient="portrait"/>
          <w:cols w:equalWidth="0" w:num="1">
            <w:col w:w="11420"/>
          </w:cols>
          <w:pgMar w:left="240" w:top="226" w:right="239" w:bottom="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Mark L. Johnson,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1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in-Fact for David H. Wang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95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507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5"/>
          <w:szCs w:val="15"/>
          <w:color w:val="0000FF"/>
        </w:rPr>
        <w:t>08/27/2019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ectPr>
          <w:pgSz w:w="11900" w:h="16882" w:orient="portrait"/>
          <w:cols w:equalWidth="0" w:num="2">
            <w:col w:w="9040" w:space="120"/>
            <w:col w:w="226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52"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1580"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2019-12-24T09:10:32Z</dcterms:created>
  <dcterms:modified xsi:type="dcterms:W3CDTF">2019-12-24T09:10:32Z</dcterms:modified>
</cp:coreProperties>
</file>