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2025, we issued a press release entitled “ACM Research Announces Preliminary Unaudited Revenue and Shipments for the Third Quarter 2025.” The full text of the press release is furnished as Exhibit 99.1 hereto and is incorporated herein by reference.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0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October 29, 2025</w:t>
            </w:r>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0" w:hanging="92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690880</wp:posOffset>
            </wp:positionV>
            <wp:extent cx="865505" cy="53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ACM Research Announces Preliminary Unaudited Revenue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Shipments for the Third Quarter 2025</w:t>
      </w:r>
    </w:p>
    <w:p>
      <w:pPr>
        <w:jc w:val="center"/>
        <w:spacing w:after="0"/>
        <w:rPr>
          <w:sz w:val="20"/>
          <w:szCs w:val="20"/>
          <w:color w:val="auto"/>
        </w:rPr>
      </w:pPr>
      <w:r>
        <w:rPr>
          <w:rFonts w:ascii="Times New Roman" w:cs="Times New Roman" w:eastAsia="Times New Roman" w:hAnsi="Times New Roman"/>
          <w:sz w:val="20"/>
          <w:szCs w:val="20"/>
          <w:i w:val="1"/>
          <w:iCs w:val="1"/>
          <w:color w:val="auto"/>
        </w:rPr>
        <w:t>Coincides with Release of ACM Shanghai Third Quarter 2025 Results</w:t>
      </w:r>
    </w:p>
    <w:p>
      <w:pPr>
        <w:spacing w:after="0" w:line="23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FREMONT, Calif., October 29, 2025 (GLOBE NEWSWIRE) – ACM Research, Inc. (“ACM”) (NASDAQ: ACMR), a leading supplier of wafer and panel processing solutions for semiconductor and advanced packaging applications, today announces expectations for preliminary unaudited revenue and total shipments for the third quarter of 2025. Today’s release coincides with the as-scheduled release of unaudited financial results by ACM Research (Shanghai), Inc., ACM’s principal operating subsidiary (“ACM Shanghai”), to the Shanghai Stock Exchange website [</w:t>
      </w:r>
      <w:r>
        <w:rPr>
          <w:rFonts w:ascii="Times New Roman" w:cs="Times New Roman" w:eastAsia="Times New Roman" w:hAnsi="Times New Roman"/>
          <w:sz w:val="20"/>
          <w:szCs w:val="20"/>
          <w:u w:val="single" w:color="auto"/>
          <w:color w:val="0000FF"/>
        </w:rPr>
        <w:t>link to China Disclosure</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ACM will discuss its full financial results for the third quarter 2025 and its revenue outlook for the remainder of the year on its earnings call on Wednesday, November 5, 2025, at 8 a.m. Eastern Time (9 p.m. China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ACM announces the following:</w:t>
      </w:r>
    </w:p>
    <w:p>
      <w:pPr>
        <w:spacing w:after="0" w:line="22" w:lineRule="exact"/>
        <w:rPr>
          <w:sz w:val="20"/>
          <w:szCs w:val="20"/>
          <w:color w:val="auto"/>
        </w:rPr>
      </w:pPr>
    </w:p>
    <w:p>
      <w:pPr>
        <w:ind w:left="340" w:right="200" w:hanging="332"/>
        <w:spacing w:after="0" w:line="250"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preliminary unaudited revenue for the third quarter of 2025 is expected to be in the range of $264 million to $267 million, which would represent year-to-year growth of 29% to 31%.</w:t>
      </w:r>
    </w:p>
    <w:p>
      <w:pPr>
        <w:ind w:left="340" w:right="200" w:hanging="332"/>
        <w:spacing w:after="0" w:line="25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preliminary total shipments are expected to be in the range of $257 million to $262 million, which would represent year-to-year change of flat to down 2%.</w:t>
      </w:r>
    </w:p>
    <w:p>
      <w:pPr>
        <w:spacing w:after="0" w:line="215"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Actual unaudited third quarter 2025 results are subject to the completion of ACM’s quarter end closing procedures and review by ACM’s independent registered public accounting firm.</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ACM currently owns a 74.6% equity interest in ACM Shanghai, and a substantial majority of ACM’s consolidated revenue and net income is contributed by ACM Shanghai. The stand-alone financial results of ACM Shanghai are reported in RMB as prepared in accordance with Chinese generally accepted accounting principles,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w:t>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20"/>
          <w:szCs w:val="20"/>
          <w:color w:val="auto"/>
        </w:rPr>
        <w:t>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ACM Research, Inc.</w:t>
      </w:r>
    </w:p>
    <w:p>
      <w:pPr>
        <w:spacing w:after="0" w:line="206"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20"/>
          <w:szCs w:val="20"/>
          <w:u w:val="single" w:color="auto"/>
          <w:color w:val="0000FF"/>
        </w:rPr>
        <w:t>www.acmrcsh.com</w:t>
      </w:r>
      <w:r>
        <w:rPr>
          <w:rFonts w:ascii="Times New Roman" w:cs="Times New Roman" w:eastAsia="Times New Roman" w:hAnsi="Times New Roman"/>
          <w:sz w:val="20"/>
          <w:szCs w:val="20"/>
          <w:color w:val="000000"/>
        </w:rPr>
        <w:t>.</w:t>
      </w:r>
    </w:p>
    <w:p>
      <w:pPr>
        <w:spacing w:after="0" w:line="178" w:lineRule="exact"/>
        <w:rPr>
          <w:sz w:val="20"/>
          <w:szCs w:val="20"/>
          <w:color w:val="auto"/>
        </w:rPr>
      </w:pPr>
    </w:p>
    <w:p>
      <w:pPr>
        <w:ind w:right="60" w:firstLine="8"/>
        <w:spacing w:after="0" w:line="261" w:lineRule="auto"/>
        <w:tabs>
          <w:tab w:leader="none" w:pos="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200" w:lineRule="exact"/>
        <w:rPr>
          <w:sz w:val="20"/>
          <w:szCs w:val="20"/>
          <w:color w:val="auto"/>
        </w:rPr>
      </w:pPr>
    </w:p>
    <w:p>
      <w:pPr>
        <w:spacing w:after="0" w:line="396" w:lineRule="exact"/>
        <w:rPr>
          <w:sz w:val="20"/>
          <w:szCs w:val="20"/>
          <w:color w:val="auto"/>
        </w:rPr>
      </w:pPr>
    </w:p>
    <w:p>
      <w:pPr>
        <w:jc w:val="center"/>
        <w:ind w:right="7120"/>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p>
      <w:pPr>
        <w:spacing w:after="0" w:line="123" w:lineRule="exact"/>
        <w:rPr>
          <w:sz w:val="20"/>
          <w:szCs w:val="20"/>
          <w:color w:val="auto"/>
        </w:rPr>
      </w:pPr>
    </w:p>
    <w:p>
      <w:pPr>
        <w:ind w:left="340"/>
        <w:spacing w:after="0"/>
        <w:tabs>
          <w:tab w:leader="none" w:pos="2120" w:val="left"/>
        </w:tabs>
        <w:rPr>
          <w:sz w:val="20"/>
          <w:szCs w:val="20"/>
          <w:color w:val="auto"/>
        </w:rPr>
      </w:pPr>
      <w:r>
        <w:rPr>
          <w:rFonts w:ascii="Times New Roman" w:cs="Times New Roman" w:eastAsia="Times New Roman" w:hAnsi="Times New Roman"/>
          <w:sz w:val="20"/>
          <w:szCs w:val="20"/>
          <w:u w:val="single" w:color="auto"/>
          <w:color w:val="auto"/>
        </w:rPr>
        <w:t>In the United States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Blueshirt Group</w:t>
      </w:r>
    </w:p>
    <w:p>
      <w:pPr>
        <w:spacing w:after="0" w:line="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Steven C. Pelayo, CFA</w:t>
      </w:r>
    </w:p>
    <w:p>
      <w:pPr>
        <w:spacing w:after="0" w:line="1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+1 (360) 808-5154</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i w:val="1"/>
          <w:iCs w:val="1"/>
          <w:color w:val="auto"/>
        </w:rPr>
        <w:t>steven@blueshirtgroup.co</w:t>
      </w:r>
    </w:p>
    <w:p>
      <w:pPr>
        <w:spacing w:after="0" w:line="99" w:lineRule="exact"/>
        <w:rPr>
          <w:sz w:val="20"/>
          <w:szCs w:val="20"/>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20"/>
          <w:szCs w:val="20"/>
          <w:u w:val="single" w:color="auto"/>
          <w:color w:val="auto"/>
        </w:rPr>
        <w:t>In China</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Blueshirt Group Asia</w:t>
      </w:r>
    </w:p>
    <w:p>
      <w:pPr>
        <w:spacing w:after="0" w:line="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Gary Dvorchak, CFA</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+86 (138) 1079-1480</w:t>
      </w:r>
    </w:p>
    <w:p>
      <w:pPr>
        <w:spacing w:after="0" w:line="1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i w:val="1"/>
          <w:iCs w:val="1"/>
          <w:color w:val="auto"/>
        </w:rPr>
        <w:t>gary@blueshirtgroup.co</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2025-10-29T12:27:10Z</dcterms:created>
  <dcterms:modified xsi:type="dcterms:W3CDTF">2025-10-29T12:27:10Z</dcterms:modified>
</cp:coreProperties>
</file>