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Liu Tracy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ACM Research,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42307 OSGOOD ROAD, SUITE I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119.98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-2942590</wp:posOffset>
            </wp:positionV>
            <wp:extent cx="7033260" cy="2985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8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and become exercisable immediately prior to the 2022 Annual Meeting of Stockholders of the Issuer, subject to continued service through the vesting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L. Johnson,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Tracy Liu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903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29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2021-03-03T16:40:51Z</dcterms:created>
  <dcterms:modified xsi:type="dcterms:W3CDTF">2021-03-03T16:40:51Z</dcterms:modified>
</cp:coreProperties>
</file>