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June 12,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740"/>
        <w:gridCol w:w="2195"/>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9465" w:type="dxa"/>
        <w:jc w:val="left"/>
        <w:tblInd w:w="0" w:type="dxa"/>
        <w:tblLayout w:type="fixed"/>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4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Submission of Matters to a Vote of Security Holders.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held our 2025 Annual Meeting of Stockholders on June 12, 2025. The board of directors solicited proxies pursuant to a proxy statement that we filed with the Securities and Exchange Commission under Section 14(a) of the Securities Exchange Act of 1934 on April 29, 2025. There was no solicitation in opposition to the board’s solicitation.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At the meeting, holders of Class A and Class B common stock were asked to consider and vote upon the two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132,427,558 votes, or 83.1% of the total votes attributable to all outstanding shares of Class A and Class B common stock, were present in person or by proxy at the meeting.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voting results reported below are final.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matters considered and voted on by the stockholders at the meeting and the votes of the stockholders were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Proposal 1. Stockholders voted as follows with respect to the election of each of the nominees for director identified in the proxy statement:</w:t>
      </w:r>
    </w:p>
    <w:p>
      <w:pPr>
        <w:pStyle w:val="TextBody"/>
        <w:bidi w:val="0"/>
        <w:spacing w:before="0" w:after="0"/>
        <w:jc w:val="left"/>
        <w:rPr>
          <w:color w:val="000000"/>
          <w:shd w:fill="FFFFFF" w:val="clear"/>
        </w:rPr>
      </w:pPr>
      <w:r>
        <w:rPr>
          <w:color w:val="000000"/>
          <w:shd w:fill="FFFFFF" w:val="clear"/>
        </w:rPr>
        <w:t> </w:t>
      </w:r>
    </w:p>
    <w:tbl>
      <w:tblPr>
        <w:tblW w:w="4715" w:type="dxa"/>
        <w:jc w:val="left"/>
        <w:tblInd w:w="0" w:type="dxa"/>
        <w:tblLayout w:type="fixed"/>
        <w:tblCellMar>
          <w:top w:w="0" w:type="dxa"/>
          <w:left w:w="0" w:type="dxa"/>
          <w:bottom w:w="28" w:type="dxa"/>
          <w:right w:w="0" w:type="dxa"/>
        </w:tblCellMar>
      </w:tblPr>
      <w:tblGrid>
        <w:gridCol w:w="1265"/>
        <w:gridCol w:w="1055"/>
        <w:gridCol w:w="845"/>
        <w:gridCol w:w="1550"/>
      </w:tblGrid>
      <w:tr>
        <w:trPr/>
        <w:tc>
          <w:tcPr>
            <w:tcW w:w="1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Nominee</w:t>
            </w:r>
          </w:p>
        </w:tc>
        <w:tc>
          <w:tcPr>
            <w:tcW w:w="105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w:t>
            </w:r>
          </w:p>
        </w:tc>
        <w:tc>
          <w:tcPr>
            <w:tcW w:w="84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Withhold</w:t>
            </w:r>
          </w:p>
        </w:tc>
        <w:tc>
          <w:tcPr>
            <w:tcW w:w="155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Broker Non-Votes</w:t>
            </w:r>
          </w:p>
        </w:tc>
      </w:tr>
      <w:tr>
        <w:trPr/>
        <w:tc>
          <w:tcPr>
            <w:tcW w:w="1265" w:type="dxa"/>
            <w:tcBorders/>
            <w:shd w:fill="CCEEFF" w:val="clear"/>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David H. Wang</w:t>
            </w:r>
          </w:p>
        </w:tc>
        <w:tc>
          <w:tcPr>
            <w:tcW w:w="105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120,768,854</w:t>
            </w:r>
          </w:p>
        </w:tc>
        <w:tc>
          <w:tcPr>
            <w:tcW w:w="84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4,378,704</w:t>
            </w:r>
          </w:p>
        </w:tc>
        <w:tc>
          <w:tcPr>
            <w:tcW w:w="155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7,280,000</w:t>
            </w:r>
          </w:p>
        </w:tc>
      </w:tr>
      <w:tr>
        <w:trPr/>
        <w:tc>
          <w:tcPr>
            <w:tcW w:w="126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Haiping Dun</w:t>
            </w:r>
          </w:p>
        </w:tc>
        <w:tc>
          <w:tcPr>
            <w:tcW w:w="105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122,190,994</w:t>
            </w:r>
          </w:p>
        </w:tc>
        <w:tc>
          <w:tcPr>
            <w:tcW w:w="84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2,956,564</w:t>
            </w:r>
          </w:p>
        </w:tc>
        <w:tc>
          <w:tcPr>
            <w:tcW w:w="15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7,280,000</w:t>
            </w:r>
          </w:p>
        </w:tc>
      </w:tr>
      <w:tr>
        <w:trPr/>
        <w:tc>
          <w:tcPr>
            <w:tcW w:w="1265" w:type="dxa"/>
            <w:tcBorders/>
            <w:shd w:fill="CCEEFF" w:val="clear"/>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Tracy Liu</w:t>
            </w:r>
          </w:p>
        </w:tc>
        <w:tc>
          <w:tcPr>
            <w:tcW w:w="105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116,265,577</w:t>
            </w:r>
          </w:p>
        </w:tc>
        <w:tc>
          <w:tcPr>
            <w:tcW w:w="84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8,881,981</w:t>
            </w:r>
          </w:p>
        </w:tc>
        <w:tc>
          <w:tcPr>
            <w:tcW w:w="155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7,280,000</w:t>
            </w:r>
          </w:p>
        </w:tc>
      </w:tr>
      <w:tr>
        <w:trPr/>
        <w:tc>
          <w:tcPr>
            <w:tcW w:w="126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Charles Pappis</w:t>
            </w:r>
          </w:p>
        </w:tc>
        <w:tc>
          <w:tcPr>
            <w:tcW w:w="105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123,708,684</w:t>
            </w:r>
          </w:p>
        </w:tc>
        <w:tc>
          <w:tcPr>
            <w:tcW w:w="84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1,438,874</w:t>
            </w:r>
          </w:p>
        </w:tc>
        <w:tc>
          <w:tcPr>
            <w:tcW w:w="15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7,280,000</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this vote, each of the four nominees was elected as a director to serve until the 2026 Annual Meeting of Stockholders and until his or her successor is duly elected and qualified.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Proposal 2. Stockholders ratified the appointment of Ernst &amp; Young Hua Ming LLP as our independent auditor for the fiscal year ending December 31, 2025 by the following vote:</w:t>
      </w:r>
    </w:p>
    <w:p>
      <w:pPr>
        <w:pStyle w:val="TextBody"/>
        <w:bidi w:val="0"/>
        <w:spacing w:before="0" w:after="0"/>
        <w:jc w:val="left"/>
        <w:rPr>
          <w:color w:val="000000"/>
          <w:shd w:fill="FFFFFF" w:val="clear"/>
        </w:rPr>
      </w:pPr>
      <w:r>
        <w:rPr>
          <w:color w:val="000000"/>
          <w:shd w:fill="FFFFFF" w:val="clear"/>
        </w:rPr>
        <w:t> </w:t>
      </w:r>
    </w:p>
    <w:tbl>
      <w:tblPr>
        <w:tblW w:w="8180" w:type="dxa"/>
        <w:jc w:val="left"/>
        <w:tblInd w:w="0" w:type="dxa"/>
        <w:tblLayout w:type="fixed"/>
        <w:tblCellMar>
          <w:top w:w="0" w:type="dxa"/>
          <w:left w:w="0" w:type="dxa"/>
          <w:bottom w:w="28" w:type="dxa"/>
          <w:right w:w="0" w:type="dxa"/>
        </w:tblCellMar>
      </w:tblPr>
      <w:tblGrid>
        <w:gridCol w:w="5795"/>
        <w:gridCol w:w="1055"/>
        <w:gridCol w:w="665"/>
        <w:gridCol w:w="665"/>
      </w:tblGrid>
      <w:tr>
        <w:trPr/>
        <w:tc>
          <w:tcPr>
            <w:tcW w:w="5795"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w:t>
            </w:r>
          </w:p>
        </w:tc>
        <w:tc>
          <w:tcPr>
            <w:tcW w:w="6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Against</w:t>
            </w:r>
          </w:p>
        </w:tc>
        <w:tc>
          <w:tcPr>
            <w:tcW w:w="6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Abstain</w:t>
            </w:r>
          </w:p>
        </w:tc>
      </w:tr>
      <w:tr>
        <w:trPr/>
        <w:tc>
          <w:tcPr>
            <w:tcW w:w="5795" w:type="dxa"/>
            <w:tcBorders/>
            <w:shd w:fill="CCEEFF" w:val="clear"/>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Ratification of Appointment of Ernst &amp; Young Hua Ming LLP for 2025</w:t>
            </w:r>
          </w:p>
        </w:tc>
        <w:tc>
          <w:tcPr>
            <w:tcW w:w="105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132,373,990</w:t>
            </w:r>
          </w:p>
        </w:tc>
        <w:tc>
          <w:tcPr>
            <w:tcW w:w="66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24,398</w:t>
            </w:r>
          </w:p>
        </w:tc>
        <w:tc>
          <w:tcPr>
            <w:tcW w:w="66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29,170</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085" w:type="dxa"/>
        <w:jc w:val="left"/>
        <w:tblInd w:w="0" w:type="dxa"/>
        <w:tblLayout w:type="fixed"/>
        <w:tblCellMar>
          <w:top w:w="0" w:type="dxa"/>
          <w:left w:w="0" w:type="dxa"/>
          <w:bottom w:w="0" w:type="dxa"/>
          <w:right w:w="0" w:type="dxa"/>
        </w:tblCellMar>
      </w:tblPr>
      <w:tblGrid>
        <w:gridCol w:w="1745"/>
        <w:gridCol w:w="320"/>
        <w:gridCol w:w="3020"/>
      </w:tblGrid>
      <w:tr>
        <w:trPr/>
        <w:tc>
          <w:tcPr>
            <w:tcW w:w="1745"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745"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0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June 13, 2025</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677</Words>
  <Characters>3521</Characters>
  <CharactersWithSpaces>4163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