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4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-234950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5"/>
        </w:trPr>
        <w:tc>
          <w:tcPr>
            <w:tcW w:w="632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5328285</wp:posOffset>
            </wp:positionH>
            <wp:positionV relativeFrom="paragraph">
              <wp:posOffset>-609600</wp:posOffset>
            </wp:positionV>
            <wp:extent cx="8255" cy="61023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102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4017645</wp:posOffset>
            </wp:positionH>
            <wp:positionV relativeFrom="paragraph">
              <wp:posOffset>-617855</wp:posOffset>
            </wp:positionV>
            <wp:extent cx="8255" cy="6184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184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4042410</wp:posOffset>
            </wp:positionH>
            <wp:positionV relativeFrom="paragraph">
              <wp:posOffset>-593090</wp:posOffset>
            </wp:positionV>
            <wp:extent cx="1270000" cy="5689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0" cy="5689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-1597025</wp:posOffset>
            </wp:positionH>
            <wp:positionV relativeFrom="paragraph">
              <wp:posOffset>29210</wp:posOffset>
            </wp:positionV>
            <wp:extent cx="6967220" cy="175641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7220" cy="17564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40"/>
            <w:col w:w="8560"/>
          </w:cols>
          <w:pgMar w:left="460" w:top="222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6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4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Liu Tracy</w:t>
              </w:r>
            </w:hyperlink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40" w:type="dxa"/>
            <w:vAlign w:val="bottom"/>
            <w:gridSpan w:val="8"/>
          </w:tcPr>
          <w:p>
            <w:pPr>
              <w:spacing w:after="0" w:line="104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ACM Research, Inc.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ACMR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Director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00" w:type="dxa"/>
            <w:vAlign w:val="bottom"/>
            <w:gridSpan w:val="5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00" w:type="dxa"/>
            <w:vAlign w:val="bottom"/>
            <w:gridSpan w:val="5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00" w:type="dxa"/>
            <w:vAlign w:val="bottom"/>
            <w:gridSpan w:val="5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4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4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03/20/2020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2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C/O ACM RESEARCH, INC.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2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42307 OSGOOD ROAD, SUITE I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0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0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FREMONT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94539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2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3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ind w:left="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60" w:type="dxa"/>
            <w:vAlign w:val="bottom"/>
            <w:gridSpan w:val="5"/>
          </w:tcPr>
          <w:p>
            <w:pPr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ind w:left="7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gridSpan w:val="5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70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2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80" w:type="dxa"/>
            <w:vAlign w:val="bottom"/>
            <w:gridSpan w:val="16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9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60" w:type="dxa"/>
            <w:vAlign w:val="bottom"/>
            <w:gridSpan w:val="5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Code (Instr.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4"/>
              </w:rPr>
              <w:t>8)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4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4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5,000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22.07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ind w:left="2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03/20/2020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ind w:left="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1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5,000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03/19/2030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2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5,000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2540</wp:posOffset>
            </wp:positionH>
            <wp:positionV relativeFrom="paragraph">
              <wp:posOffset>-2942590</wp:posOffset>
            </wp:positionV>
            <wp:extent cx="7033260" cy="298513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3260" cy="29851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The option will vest and become exercisable immediately prior to the 2021 Annual Meeting of Stockholders of the Issuer, subject to continued service through the vesting date.</w:t>
      </w:r>
    </w:p>
    <w:p>
      <w:pPr>
        <w:ind w:left="6600"/>
        <w:spacing w:after="0" w:line="18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Mark L. Johnson, Attorney- </w:t>
      </w:r>
      <w:r>
        <w:rPr>
          <w:rFonts w:ascii="Arial" w:cs="Arial" w:eastAsia="Arial" w:hAnsi="Arial"/>
          <w:sz w:val="33"/>
          <w:szCs w:val="33"/>
          <w:color w:val="0000FF"/>
          <w:vertAlign w:val="subscript"/>
        </w:rPr>
        <w:t>03/24/2020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-27305</wp:posOffset>
            </wp:positionV>
            <wp:extent cx="132778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77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in-Fact for Tracy Liu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-19685</wp:posOffset>
            </wp:positionV>
            <wp:extent cx="90360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36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5584825</wp:posOffset>
            </wp:positionH>
            <wp:positionV relativeFrom="paragraph">
              <wp:posOffset>-85725</wp:posOffset>
            </wp:positionV>
            <wp:extent cx="4883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83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0"/>
          <w:szCs w:val="20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jc w:val="both"/>
        <w:ind w:left="40" w:right="3540" w:firstLine="3"/>
        <w:spacing w:after="0" w:line="337" w:lineRule="auto"/>
        <w:tabs>
          <w:tab w:leader="none" w:pos="177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2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721299" TargetMode="External"/><Relationship Id="rId14" Type="http://schemas.openxmlformats.org/officeDocument/2006/relationships/hyperlink" Target="http://www.sec.gov/cgi-bin/browse-edgar?action=getcompany&amp;CIK=000168006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2020-03-24T20:21:44Z</dcterms:created>
  <dcterms:modified xsi:type="dcterms:W3CDTF">2020-03-24T20:21:44Z</dcterms:modified>
</cp:coreProperties>
</file>