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139065</wp:posOffset>
            </wp:positionH>
            <wp:positionV relativeFrom="page">
              <wp:posOffset>240030</wp:posOffset>
            </wp:positionV>
            <wp:extent cx="728281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815" cy="25400"/>
                    </a:xfrm>
                    <a:prstGeom prst="rect">
                      <a:avLst/>
                    </a:prstGeom>
                    <a:noFill/>
                  </pic:spPr>
                </pic:pic>
              </a:graphicData>
            </a:graphic>
          </wp:anchor>
        </w:drawing>
        <w:drawing>
          <wp:anchor simplePos="0" relativeHeight="251657728" behindDoc="1" locked="0" layoutInCell="0" allowOverlap="1">
            <wp:simplePos x="0" y="0"/>
            <wp:positionH relativeFrom="page">
              <wp:posOffset>139065</wp:posOffset>
            </wp:positionH>
            <wp:positionV relativeFrom="page">
              <wp:posOffset>315595</wp:posOffset>
            </wp:positionV>
            <wp:extent cx="72828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815" cy="6350"/>
                    </a:xfrm>
                    <a:prstGeom prst="rect">
                      <a:avLst/>
                    </a:prstGeom>
                    <a:noFill/>
                  </pic:spPr>
                </pic:pic>
              </a:graphicData>
            </a:graphic>
          </wp:anchor>
        </w:drawing>
        <w:t>UNITED STATES</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8-K</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CURRENT REPORT</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 xml:space="preserve">Date of Report (Date of earliest event reported): </w:t>
      </w:r>
      <w:r>
        <w:rPr>
          <w:rFonts w:ascii="Arial" w:cs="Arial" w:eastAsia="Arial" w:hAnsi="Arial"/>
          <w:sz w:val="13"/>
          <w:szCs w:val="13"/>
          <w:b w:val="1"/>
          <w:bCs w:val="1"/>
          <w:color w:val="auto"/>
        </w:rPr>
        <w:t>June 17, 2019</w:t>
      </w:r>
    </w:p>
    <w:p>
      <w:pPr>
        <w:spacing w:after="0" w:line="14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ACM Research, Inc.</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1461"/>
          </w:cols>
          <w:pgMar w:left="219" w:top="536" w:right="219" w:bottom="1440" w:gutter="0" w:footer="0" w:header="0"/>
        </w:sectPr>
      </w:pPr>
    </w:p>
    <w:p>
      <w:pPr>
        <w:spacing w:after="0" w:line="154" w:lineRule="exact"/>
        <w:rPr>
          <w:sz w:val="24"/>
          <w:szCs w:val="24"/>
          <w:color w:val="auto"/>
        </w:rPr>
      </w:pPr>
    </w:p>
    <w:p>
      <w:pPr>
        <w:ind w:left="1561"/>
        <w:spacing w:after="0"/>
        <w:rPr>
          <w:sz w:val="20"/>
          <w:szCs w:val="20"/>
          <w:color w:val="auto"/>
        </w:rPr>
      </w:pPr>
      <w:r>
        <w:rPr>
          <w:rFonts w:ascii="Arial" w:cs="Arial" w:eastAsia="Arial" w:hAnsi="Arial"/>
          <w:sz w:val="13"/>
          <w:szCs w:val="13"/>
          <w:b w:val="1"/>
          <w:bCs w:val="1"/>
          <w:color w:val="auto"/>
        </w:rPr>
        <w:t>Delaware</w:t>
      </w:r>
    </w:p>
    <w:p>
      <w:pPr>
        <w:spacing w:after="0" w:line="17" w:lineRule="exact"/>
        <w:rPr>
          <w:sz w:val="24"/>
          <w:szCs w:val="24"/>
          <w:color w:val="auto"/>
        </w:rPr>
      </w:pPr>
    </w:p>
    <w:p>
      <w:pPr>
        <w:ind w:left="1441"/>
        <w:spacing w:after="0"/>
        <w:rPr>
          <w:sz w:val="20"/>
          <w:szCs w:val="20"/>
          <w:color w:val="auto"/>
        </w:rPr>
      </w:pPr>
      <w:r>
        <w:rPr>
          <w:rFonts w:ascii="Arial" w:cs="Arial" w:eastAsia="Arial" w:hAnsi="Arial"/>
          <w:sz w:val="13"/>
          <w:szCs w:val="13"/>
          <w:color w:val="auto"/>
        </w:rPr>
        <w:t>(State or Other</w:t>
      </w:r>
    </w:p>
    <w:p>
      <w:pPr>
        <w:spacing w:after="0" w:line="9" w:lineRule="exact"/>
        <w:rPr>
          <w:sz w:val="24"/>
          <w:szCs w:val="24"/>
          <w:color w:val="auto"/>
        </w:rPr>
      </w:pPr>
    </w:p>
    <w:p>
      <w:pPr>
        <w:ind w:left="1081"/>
        <w:spacing w:after="0"/>
        <w:rPr>
          <w:sz w:val="20"/>
          <w:szCs w:val="20"/>
          <w:color w:val="auto"/>
        </w:rPr>
      </w:pPr>
      <w:r>
        <w:rPr>
          <w:rFonts w:ascii="Arial" w:cs="Arial" w:eastAsia="Arial" w:hAnsi="Arial"/>
          <w:sz w:val="11"/>
          <w:szCs w:val="11"/>
          <w:color w:val="auto"/>
        </w:rPr>
        <w:t>Jurisdiction of Incorporation)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2340"/>
        <w:spacing w:after="0"/>
        <w:rPr>
          <w:sz w:val="20"/>
          <w:szCs w:val="20"/>
          <w:color w:val="auto"/>
        </w:rPr>
      </w:pPr>
      <w:r>
        <w:rPr>
          <w:rFonts w:ascii="Arial" w:cs="Arial" w:eastAsia="Arial" w:hAnsi="Arial"/>
          <w:sz w:val="13"/>
          <w:szCs w:val="13"/>
          <w:b w:val="1"/>
          <w:bCs w:val="1"/>
          <w:color w:val="auto"/>
        </w:rPr>
        <w:t>001-38273</w:t>
      </w:r>
    </w:p>
    <w:p>
      <w:pPr>
        <w:spacing w:after="0" w:line="17" w:lineRule="exact"/>
        <w:rPr>
          <w:sz w:val="24"/>
          <w:szCs w:val="24"/>
          <w:color w:val="auto"/>
        </w:rPr>
      </w:pPr>
    </w:p>
    <w:p>
      <w:pPr>
        <w:jc w:val="center"/>
        <w:ind w:right="2340"/>
        <w:spacing w:after="0"/>
        <w:rPr>
          <w:sz w:val="20"/>
          <w:szCs w:val="20"/>
          <w:color w:val="auto"/>
        </w:rPr>
      </w:pPr>
      <w:r>
        <w:rPr>
          <w:rFonts w:ascii="Arial" w:cs="Arial" w:eastAsia="Arial" w:hAnsi="Arial"/>
          <w:sz w:val="12"/>
          <w:szCs w:val="12"/>
          <w:color w:val="auto"/>
        </w:rPr>
        <w:t>(Commission</w:t>
      </w:r>
    </w:p>
    <w:p>
      <w:pPr>
        <w:spacing w:after="0" w:line="21" w:lineRule="exact"/>
        <w:rPr>
          <w:sz w:val="24"/>
          <w:szCs w:val="24"/>
          <w:color w:val="auto"/>
        </w:rPr>
      </w:pPr>
    </w:p>
    <w:p>
      <w:pPr>
        <w:jc w:val="center"/>
        <w:ind w:right="2340"/>
        <w:spacing w:after="0"/>
        <w:rPr>
          <w:sz w:val="20"/>
          <w:szCs w:val="20"/>
          <w:color w:val="auto"/>
        </w:rPr>
      </w:pPr>
      <w:r>
        <w:rPr>
          <w:rFonts w:ascii="Arial" w:cs="Arial" w:eastAsia="Arial" w:hAnsi="Arial"/>
          <w:sz w:val="12"/>
          <w:szCs w:val="12"/>
          <w:color w:val="auto"/>
        </w:rPr>
        <w:t>File Number)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1360"/>
        <w:spacing w:after="0"/>
        <w:rPr>
          <w:sz w:val="20"/>
          <w:szCs w:val="20"/>
          <w:color w:val="auto"/>
        </w:rPr>
      </w:pPr>
      <w:r>
        <w:rPr>
          <w:rFonts w:ascii="Arial" w:cs="Arial" w:eastAsia="Arial" w:hAnsi="Arial"/>
          <w:sz w:val="13"/>
          <w:szCs w:val="13"/>
          <w:b w:val="1"/>
          <w:bCs w:val="1"/>
          <w:color w:val="auto"/>
        </w:rPr>
        <w:t>94-3290283</w:t>
      </w:r>
    </w:p>
    <w:p>
      <w:pPr>
        <w:spacing w:after="0" w:line="17" w:lineRule="exact"/>
        <w:rPr>
          <w:sz w:val="24"/>
          <w:szCs w:val="24"/>
          <w:color w:val="auto"/>
        </w:rPr>
      </w:pPr>
    </w:p>
    <w:p>
      <w:pPr>
        <w:jc w:val="center"/>
        <w:ind w:right="1360"/>
        <w:spacing w:after="0"/>
        <w:rPr>
          <w:sz w:val="20"/>
          <w:szCs w:val="20"/>
          <w:color w:val="auto"/>
        </w:rPr>
      </w:pPr>
      <w:r>
        <w:rPr>
          <w:rFonts w:ascii="Arial" w:cs="Arial" w:eastAsia="Arial" w:hAnsi="Arial"/>
          <w:sz w:val="13"/>
          <w:szCs w:val="13"/>
          <w:color w:val="auto"/>
        </w:rPr>
        <w:t>(IRS Employer</w:t>
      </w:r>
    </w:p>
    <w:p>
      <w:pPr>
        <w:spacing w:after="0" w:line="9" w:lineRule="exact"/>
        <w:rPr>
          <w:sz w:val="24"/>
          <w:szCs w:val="24"/>
          <w:color w:val="auto"/>
        </w:rPr>
      </w:pPr>
    </w:p>
    <w:p>
      <w:pPr>
        <w:jc w:val="center"/>
        <w:ind w:right="1360"/>
        <w:spacing w:after="0"/>
        <w:rPr>
          <w:sz w:val="20"/>
          <w:szCs w:val="20"/>
          <w:color w:val="auto"/>
        </w:rPr>
      </w:pPr>
      <w:r>
        <w:rPr>
          <w:rFonts w:ascii="Arial" w:cs="Arial" w:eastAsia="Arial" w:hAnsi="Arial"/>
          <w:sz w:val="12"/>
          <w:szCs w:val="12"/>
          <w:color w:val="auto"/>
        </w:rPr>
        <w:t>Identification No.)</w:t>
      </w:r>
    </w:p>
    <w:p>
      <w:pPr>
        <w:spacing w:after="0" w:line="171" w:lineRule="exact"/>
        <w:rPr>
          <w:sz w:val="24"/>
          <w:szCs w:val="24"/>
          <w:color w:val="auto"/>
        </w:rPr>
      </w:pPr>
    </w:p>
    <w:p>
      <w:pPr>
        <w:sectPr>
          <w:pgSz w:w="11900" w:h="16838" w:orient="portrait"/>
          <w:cols w:equalWidth="0" w:num="3">
            <w:col w:w="4661" w:space="720"/>
            <w:col w:w="3040" w:space="720"/>
            <w:col w:w="2320"/>
          </w:cols>
          <w:pgMar w:left="219" w:top="536" w:right="219" w:bottom="1440" w:gutter="0" w:footer="0" w:header="0"/>
          <w:type w:val="continuous"/>
        </w:sectPr>
      </w:pPr>
    </w:p>
    <w:p>
      <w:pPr>
        <w:jc w:val="center"/>
        <w:ind w:right="2039"/>
        <w:spacing w:after="0"/>
        <w:rPr>
          <w:sz w:val="20"/>
          <w:szCs w:val="20"/>
          <w:color w:val="auto"/>
        </w:rPr>
      </w:pPr>
      <w:r>
        <w:rPr>
          <w:rFonts w:ascii="Arial" w:cs="Arial" w:eastAsia="Arial" w:hAnsi="Arial"/>
          <w:sz w:val="13"/>
          <w:szCs w:val="13"/>
          <w:b w:val="1"/>
          <w:bCs w:val="1"/>
          <w:color w:val="auto"/>
        </w:rPr>
        <w:t>42307 Osgood Road, Suite I</w:t>
      </w:r>
    </w:p>
    <w:p>
      <w:pPr>
        <w:spacing w:after="0" w:line="17" w:lineRule="exact"/>
        <w:rPr>
          <w:sz w:val="24"/>
          <w:szCs w:val="24"/>
          <w:color w:val="auto"/>
        </w:rPr>
      </w:pPr>
    </w:p>
    <w:p>
      <w:pPr>
        <w:jc w:val="center"/>
        <w:ind w:right="2039"/>
        <w:spacing w:after="0"/>
        <w:rPr>
          <w:sz w:val="20"/>
          <w:szCs w:val="20"/>
          <w:color w:val="auto"/>
        </w:rPr>
      </w:pPr>
      <w:r>
        <w:rPr>
          <w:rFonts w:ascii="Arial" w:cs="Arial" w:eastAsia="Arial" w:hAnsi="Arial"/>
          <w:sz w:val="13"/>
          <w:szCs w:val="13"/>
          <w:b w:val="1"/>
          <w:bCs w:val="1"/>
          <w:color w:val="auto"/>
        </w:rPr>
        <w:t>Fremont, California</w:t>
      </w:r>
    </w:p>
    <w:p>
      <w:pPr>
        <w:spacing w:after="0" w:line="9" w:lineRule="exact"/>
        <w:rPr>
          <w:sz w:val="24"/>
          <w:szCs w:val="24"/>
          <w:color w:val="auto"/>
        </w:rPr>
      </w:pPr>
    </w:p>
    <w:p>
      <w:pPr>
        <w:jc w:val="center"/>
        <w:ind w:right="2039"/>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2520"/>
        <w:spacing w:after="0"/>
        <w:rPr>
          <w:sz w:val="20"/>
          <w:szCs w:val="20"/>
          <w:color w:val="auto"/>
        </w:rPr>
      </w:pPr>
      <w:r>
        <w:rPr>
          <w:rFonts w:ascii="Arial" w:cs="Arial" w:eastAsia="Arial" w:hAnsi="Arial"/>
          <w:sz w:val="13"/>
          <w:szCs w:val="13"/>
          <w:b w:val="1"/>
          <w:bCs w:val="1"/>
          <w:color w:val="auto"/>
        </w:rPr>
        <w:t>94539</w:t>
      </w:r>
    </w:p>
    <w:p>
      <w:pPr>
        <w:spacing w:after="0" w:line="17" w:lineRule="exact"/>
        <w:rPr>
          <w:sz w:val="24"/>
          <w:szCs w:val="24"/>
          <w:color w:val="auto"/>
        </w:rPr>
      </w:pPr>
    </w:p>
    <w:p>
      <w:pPr>
        <w:jc w:val="center"/>
        <w:ind w:right="2520"/>
        <w:spacing w:after="0"/>
        <w:rPr>
          <w:sz w:val="20"/>
          <w:szCs w:val="20"/>
          <w:color w:val="auto"/>
        </w:rPr>
      </w:pPr>
      <w:r>
        <w:rPr>
          <w:rFonts w:ascii="Arial" w:cs="Arial" w:eastAsia="Arial" w:hAnsi="Arial"/>
          <w:sz w:val="11"/>
          <w:szCs w:val="11"/>
          <w:color w:val="auto"/>
        </w:rPr>
        <w:t>(Zip Code)</w:t>
      </w:r>
    </w:p>
    <w:p>
      <w:pPr>
        <w:spacing w:after="0" w:line="183" w:lineRule="exact"/>
        <w:rPr>
          <w:sz w:val="24"/>
          <w:szCs w:val="24"/>
          <w:color w:val="auto"/>
        </w:rPr>
      </w:pPr>
    </w:p>
    <w:p>
      <w:pPr>
        <w:sectPr>
          <w:pgSz w:w="11900" w:h="16838" w:orient="portrait"/>
          <w:cols w:equalWidth="0" w:num="2">
            <w:col w:w="7661" w:space="720"/>
            <w:col w:w="3080"/>
          </w:cols>
          <w:pgMar w:left="219" w:top="536" w:right="21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(510) 445-3700</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164" w:lineRule="exact"/>
        <w:rPr>
          <w:sz w:val="24"/>
          <w:szCs w:val="24"/>
          <w:color w:val="auto"/>
        </w:rPr>
      </w:pPr>
    </w:p>
    <w:p>
      <w:pPr>
        <w:ind w:left="1"/>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101" w:hanging="101"/>
        <w:spacing w:after="0"/>
        <w:tabs>
          <w:tab w:leader="none" w:pos="101" w:val="left"/>
        </w:tabs>
        <w:numPr>
          <w:ilvl w:val="0"/>
          <w:numId w:val="1"/>
        </w:numPr>
        <w:rPr>
          <w:rFonts w:ascii="Arial" w:cs="Arial" w:eastAsia="Arial" w:hAnsi="Arial"/>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3" w:lineRule="exact"/>
        <w:rPr>
          <w:rFonts w:ascii="Arial" w:cs="Arial" w:eastAsia="Arial" w:hAnsi="Arial"/>
          <w:sz w:val="13"/>
          <w:szCs w:val="13"/>
          <w:color w:val="auto"/>
        </w:rPr>
      </w:pPr>
    </w:p>
    <w:p>
      <w:pPr>
        <w:ind w:left="101" w:hanging="101"/>
        <w:spacing w:after="0"/>
        <w:tabs>
          <w:tab w:leader="none" w:pos="101" w:val="left"/>
        </w:tabs>
        <w:numPr>
          <w:ilvl w:val="0"/>
          <w:numId w:val="1"/>
        </w:numPr>
        <w:rPr>
          <w:rFonts w:ascii="Arial" w:cs="Arial" w:eastAsia="Arial" w:hAnsi="Arial"/>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9" w:lineRule="exact"/>
        <w:rPr>
          <w:rFonts w:ascii="Arial" w:cs="Arial" w:eastAsia="Arial" w:hAnsi="Arial"/>
          <w:sz w:val="13"/>
          <w:szCs w:val="13"/>
          <w:color w:val="auto"/>
        </w:rPr>
      </w:pPr>
    </w:p>
    <w:p>
      <w:pPr>
        <w:ind w:left="101" w:hanging="101"/>
        <w:spacing w:after="0"/>
        <w:tabs>
          <w:tab w:leader="none" w:pos="101"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9" w:lineRule="exact"/>
        <w:rPr>
          <w:rFonts w:ascii="Arial" w:cs="Arial" w:eastAsia="Arial" w:hAnsi="Arial"/>
          <w:sz w:val="13"/>
          <w:szCs w:val="13"/>
          <w:color w:val="auto"/>
        </w:rPr>
      </w:pPr>
    </w:p>
    <w:p>
      <w:pPr>
        <w:ind w:left="101" w:hanging="101"/>
        <w:spacing w:after="0"/>
        <w:tabs>
          <w:tab w:leader="none" w:pos="101"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64" w:lineRule="exact"/>
        <w:rPr>
          <w:sz w:val="24"/>
          <w:szCs w:val="24"/>
          <w:color w:val="auto"/>
        </w:rPr>
      </w:pPr>
    </w:p>
    <w:tbl>
      <w:tblPr>
        <w:tblLayout w:type="fixed"/>
        <w:tblInd w:w="1" w:type="dxa"/>
        <w:tblCellMar>
          <w:top w:w="0" w:type="dxa"/>
          <w:left w:w="0" w:type="dxa"/>
          <w:bottom w:w="0" w:type="dxa"/>
          <w:right w:w="0" w:type="dxa"/>
        </w:tblCellMar>
      </w:tblPr>
      <w:tr>
        <w:trPr>
          <w:trHeight w:val="163"/>
        </w:trPr>
        <w:tc>
          <w:tcPr>
            <w:tcW w:w="486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319"/>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each class</w:t>
            </w:r>
          </w:p>
        </w:tc>
        <w:tc>
          <w:tcPr>
            <w:tcW w:w="12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Trading Symbol(s)</w:t>
            </w:r>
          </w:p>
        </w:tc>
        <w:tc>
          <w:tcPr>
            <w:tcW w:w="10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Name of each exchange on which registered</w:t>
            </w:r>
          </w:p>
        </w:tc>
      </w:tr>
      <w:tr>
        <w:trPr>
          <w:trHeight w:val="163"/>
        </w:trPr>
        <w:tc>
          <w:tcPr>
            <w:tcW w:w="4860" w:type="dxa"/>
            <w:vAlign w:val="bottom"/>
          </w:tcPr>
          <w:p>
            <w:pPr>
              <w:jc w:val="center"/>
              <w:spacing w:after="0"/>
              <w:rPr>
                <w:sz w:val="20"/>
                <w:szCs w:val="20"/>
                <w:color w:val="auto"/>
              </w:rPr>
            </w:pPr>
            <w:r>
              <w:rPr>
                <w:rFonts w:ascii="Arial" w:cs="Arial" w:eastAsia="Arial" w:hAnsi="Arial"/>
                <w:sz w:val="13"/>
                <w:szCs w:val="13"/>
                <w:color w:val="auto"/>
                <w:w w:val="89"/>
              </w:rPr>
              <w:t>Class A Common Stock, par value $0.0001 per share</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3"/>
                <w:szCs w:val="13"/>
                <w:color w:val="auto"/>
                <w:w w:val="99"/>
              </w:rPr>
              <w:t>ACMR</w:t>
            </w:r>
          </w:p>
        </w:tc>
        <w:tc>
          <w:tcPr>
            <w:tcW w:w="10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Arial" w:cs="Arial" w:eastAsia="Arial" w:hAnsi="Arial"/>
                <w:sz w:val="13"/>
                <w:szCs w:val="13"/>
                <w:color w:val="auto"/>
                <w:w w:val="91"/>
              </w:rPr>
              <w:t>Nasdaq Global Market</w:t>
            </w:r>
          </w:p>
        </w:tc>
      </w:tr>
    </w:tbl>
    <w:p>
      <w:pPr>
        <w:spacing w:after="0" w:line="149" w:lineRule="exact"/>
        <w:rPr>
          <w:sz w:val="24"/>
          <w:szCs w:val="24"/>
          <w:color w:val="auto"/>
        </w:rPr>
      </w:pPr>
    </w:p>
    <w:p>
      <w:pPr>
        <w:ind w:left="1" w:right="80"/>
        <w:spacing w:after="0" w:line="258"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ind w:left="1"/>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64" w:lineRule="exact"/>
        <w:rPr>
          <w:sz w:val="24"/>
          <w:szCs w:val="24"/>
          <w:color w:val="auto"/>
        </w:rPr>
      </w:pPr>
    </w:p>
    <w:p>
      <w:pPr>
        <w:ind w:left="1" w:right="28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2828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81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72828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81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313690</wp:posOffset>
            </wp:positionV>
            <wp:extent cx="72828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815" cy="6350"/>
                    </a:xfrm>
                    <a:prstGeom prst="rect">
                      <a:avLst/>
                    </a:prstGeom>
                    <a:noFill/>
                  </pic:spPr>
                </pic:pic>
              </a:graphicData>
            </a:graphic>
          </wp:anchor>
        </w:drawing>
      </w:r>
    </w:p>
    <w:p>
      <w:pPr>
        <w:sectPr>
          <w:pgSz w:w="11900" w:h="16838" w:orient="portrait"/>
          <w:cols w:equalWidth="0" w:num="1">
            <w:col w:w="11461"/>
          </w:cols>
          <w:pgMar w:left="219" w:top="536" w:right="219" w:bottom="144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3"/>
          <w:szCs w:val="13"/>
          <w:b w:val="1"/>
          <w:bCs w:val="1"/>
          <w:color w:val="auto"/>
        </w:rPr>
        <w:t>Item 7.01 Regulation FD Disclosure.</w:t>
      </w:r>
    </w:p>
    <w:p>
      <w:pPr>
        <w:spacing w:after="0" w:line="122" w:lineRule="exact"/>
        <w:rPr>
          <w:sz w:val="20"/>
          <w:szCs w:val="20"/>
          <w:color w:val="auto"/>
        </w:rPr>
      </w:pPr>
    </w:p>
    <w:p>
      <w:pPr>
        <w:ind w:left="1" w:right="20" w:firstLine="476"/>
        <w:spacing w:after="0" w:line="370" w:lineRule="auto"/>
        <w:rPr>
          <w:sz w:val="20"/>
          <w:szCs w:val="20"/>
          <w:color w:val="auto"/>
        </w:rPr>
      </w:pPr>
      <w:r>
        <w:rPr>
          <w:rFonts w:ascii="Arial" w:cs="Arial" w:eastAsia="Arial" w:hAnsi="Arial"/>
          <w:sz w:val="11"/>
          <w:szCs w:val="11"/>
          <w:color w:val="auto"/>
        </w:rPr>
        <w:t>On June 17, 2019, we announced a strategic plan to list the shares of our principal operating subsidiary, ACM (Shanghai) Research, Inc., on the Shanghai Stock Exchange’s Sci-Tech InnovAtion BoaRd, within the next three years. We issued a press release titled “ACM Research Announces Strategic Plan to Extend Access to China’s Capital Markets,” a copy of which is included as Exhibit 99.01 to this Current Report on Form 8-K.</w:t>
      </w:r>
    </w:p>
    <w:p>
      <w:pPr>
        <w:spacing w:after="0" w:line="86" w:lineRule="exact"/>
        <w:rPr>
          <w:sz w:val="20"/>
          <w:szCs w:val="20"/>
          <w:color w:val="auto"/>
        </w:rPr>
      </w:pPr>
    </w:p>
    <w:p>
      <w:pPr>
        <w:ind w:left="481"/>
        <w:spacing w:after="0"/>
        <w:rPr>
          <w:sz w:val="20"/>
          <w:szCs w:val="20"/>
          <w:color w:val="auto"/>
        </w:rPr>
      </w:pPr>
      <w:r>
        <w:rPr>
          <w:rFonts w:ascii="Arial" w:cs="Arial" w:eastAsia="Arial" w:hAnsi="Arial"/>
          <w:sz w:val="11"/>
          <w:szCs w:val="11"/>
          <w:color w:val="auto"/>
        </w:rPr>
        <w:t>Also on June 17, 2019, we are posting an investor presentation to our website (www.acmrcsh.com) related to the proposed listing of shares of ACM (Shanghai) Research, Inc. on the Sci-Tech InnovAtion BoaRd.</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3"/>
          <w:szCs w:val="13"/>
          <w:color w:val="auto"/>
        </w:rPr>
        <w:t>A copy of this investor presentation is furnished as Exhibit 99.02 to this Current Report on Form 8-K and is incorporated herein by reference.</w:t>
      </w:r>
    </w:p>
    <w:p>
      <w:pPr>
        <w:spacing w:after="0" w:line="114" w:lineRule="exact"/>
        <w:rPr>
          <w:sz w:val="20"/>
          <w:szCs w:val="20"/>
          <w:color w:val="auto"/>
        </w:rPr>
      </w:pPr>
    </w:p>
    <w:p>
      <w:pPr>
        <w:ind w:left="1" w:right="300" w:firstLine="476"/>
        <w:spacing w:after="0" w:line="265" w:lineRule="auto"/>
        <w:rPr>
          <w:sz w:val="20"/>
          <w:szCs w:val="20"/>
          <w:color w:val="auto"/>
        </w:rPr>
      </w:pPr>
      <w:r>
        <w:rPr>
          <w:rFonts w:ascii="Arial" w:cs="Arial" w:eastAsia="Arial" w:hAnsi="Arial"/>
          <w:sz w:val="13"/>
          <w:szCs w:val="13"/>
          <w:color w:val="auto"/>
        </w:rPr>
        <w:t>The information contained herein, including the exhibits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22" w:lineRule="exact"/>
        <w:rPr>
          <w:sz w:val="20"/>
          <w:szCs w:val="20"/>
          <w:color w:val="auto"/>
        </w:rPr>
      </w:pPr>
    </w:p>
    <w:p>
      <w:pPr>
        <w:ind w:left="541" w:hanging="541"/>
        <w:spacing w:after="0"/>
        <w:tabs>
          <w:tab w:leader="none" w:pos="541" w:val="left"/>
        </w:tabs>
        <w:numPr>
          <w:ilvl w:val="0"/>
          <w:numId w:val="2"/>
        </w:numPr>
        <w:rPr>
          <w:rFonts w:ascii="Arial" w:cs="Arial" w:eastAsia="Arial" w:hAnsi="Arial"/>
          <w:sz w:val="13"/>
          <w:szCs w:val="13"/>
          <w:color w:val="auto"/>
        </w:rPr>
      </w:pPr>
      <w:r>
        <w:rPr>
          <w:rFonts w:ascii="Arial" w:cs="Arial" w:eastAsia="Arial" w:hAnsi="Arial"/>
          <w:sz w:val="13"/>
          <w:szCs w:val="13"/>
          <w:color w:val="auto"/>
        </w:rPr>
        <w:t>Exhibits.</w:t>
      </w:r>
    </w:p>
    <w:p>
      <w:pPr>
        <w:spacing w:after="0" w:line="114" w:lineRule="exact"/>
        <w:rPr>
          <w:sz w:val="20"/>
          <w:szCs w:val="20"/>
          <w:color w:val="auto"/>
        </w:rPr>
      </w:pPr>
    </w:p>
    <w:tbl>
      <w:tblPr>
        <w:tblLayout w:type="fixed"/>
        <w:tblInd w:w="1" w:type="dxa"/>
        <w:tblCellMar>
          <w:top w:w="0" w:type="dxa"/>
          <w:left w:w="0" w:type="dxa"/>
          <w:bottom w:w="0" w:type="dxa"/>
          <w:right w:w="0" w:type="dxa"/>
        </w:tblCellMar>
      </w:tblPr>
      <w:tr>
        <w:trPr>
          <w:trHeight w:val="168"/>
        </w:trPr>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w w:val="96"/>
              </w:rPr>
              <w:t>Exhibit</w:t>
            </w:r>
          </w:p>
        </w:tc>
        <w:tc>
          <w:tcPr>
            <w:tcW w:w="220" w:type="dxa"/>
            <w:vAlign w:val="bottom"/>
          </w:tcPr>
          <w:p>
            <w:pPr>
              <w:spacing w:after="0"/>
              <w:rPr>
                <w:sz w:val="14"/>
                <w:szCs w:val="14"/>
                <w:color w:val="auto"/>
              </w:rPr>
            </w:pPr>
          </w:p>
        </w:tc>
        <w:tc>
          <w:tcPr>
            <w:tcW w:w="10200" w:type="dxa"/>
            <w:vAlign w:val="bottom"/>
            <w:tcBorders>
              <w:bottom w:val="single" w:sz="8" w:color="auto"/>
            </w:tcBorders>
          </w:tcPr>
          <w:p>
            <w:pPr>
              <w:ind w:left="4800"/>
              <w:spacing w:after="0"/>
              <w:rPr>
                <w:sz w:val="20"/>
                <w:szCs w:val="20"/>
                <w:color w:val="auto"/>
              </w:rPr>
            </w:pPr>
            <w:r>
              <w:rPr>
                <w:rFonts w:ascii="Arial" w:cs="Arial" w:eastAsia="Arial" w:hAnsi="Arial"/>
                <w:sz w:val="13"/>
                <w:szCs w:val="13"/>
                <w:b w:val="1"/>
                <w:bCs w:val="1"/>
                <w:color w:val="auto"/>
              </w:rPr>
              <w:t>Description</w:t>
            </w:r>
          </w:p>
        </w:tc>
      </w:tr>
      <w:tr>
        <w:trPr>
          <w:trHeight w:val="129"/>
        </w:trPr>
        <w:tc>
          <w:tcPr>
            <w:tcW w:w="1040" w:type="dxa"/>
            <w:vAlign w:val="bottom"/>
            <w:gridSpan w:val="2"/>
            <w:shd w:val="clear" w:color="auto" w:fill="CCEEFF"/>
          </w:tcPr>
          <w:p>
            <w:pPr>
              <w:jc w:val="right"/>
              <w:ind w:right="696"/>
              <w:spacing w:after="0" w:line="129" w:lineRule="exact"/>
              <w:rPr>
                <w:rFonts w:ascii="Arial" w:cs="Arial" w:eastAsia="Arial" w:hAnsi="Arial"/>
                <w:sz w:val="13"/>
                <w:szCs w:val="13"/>
                <w:color w:val="0000EE"/>
                <w:w w:val="79"/>
              </w:rPr>
            </w:pPr>
            <w:hyperlink w:anchor="page4">
              <w:r>
                <w:rPr>
                  <w:rFonts w:ascii="Arial" w:cs="Arial" w:eastAsia="Arial" w:hAnsi="Arial"/>
                  <w:sz w:val="13"/>
                  <w:szCs w:val="13"/>
                  <w:color w:val="0000EE"/>
                  <w:w w:val="79"/>
                </w:rPr>
                <w:t>99.</w:t>
              </w:r>
              <w:r>
                <w:rPr>
                  <w:rFonts w:ascii="Arial" w:cs="Arial" w:eastAsia="Arial" w:hAnsi="Arial"/>
                  <w:sz w:val="13"/>
                  <w:szCs w:val="13"/>
                  <w:u w:val="single" w:color="auto"/>
                  <w:color w:val="0000EE"/>
                  <w:w w:val="79"/>
                </w:rPr>
                <w:t>01</w:t>
              </w:r>
            </w:hyperlink>
          </w:p>
        </w:tc>
        <w:tc>
          <w:tcPr>
            <w:tcW w:w="220" w:type="dxa"/>
            <w:vAlign w:val="bottom"/>
            <w:shd w:val="clear" w:color="auto" w:fill="CCEEFF"/>
          </w:tcPr>
          <w:p>
            <w:pPr>
              <w:spacing w:after="0"/>
              <w:rPr>
                <w:sz w:val="11"/>
                <w:szCs w:val="11"/>
                <w:color w:val="auto"/>
              </w:rPr>
            </w:pPr>
          </w:p>
        </w:tc>
        <w:tc>
          <w:tcPr>
            <w:tcW w:w="102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Press Release of ACM Research, Inc. dated June 17, 2019</w:t>
            </w:r>
          </w:p>
        </w:tc>
      </w:tr>
      <w:tr>
        <w:trPr>
          <w:trHeight w:val="30"/>
        </w:trPr>
        <w:tc>
          <w:tcPr>
            <w:tcW w:w="280" w:type="dxa"/>
            <w:vAlign w:val="bottom"/>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0" w:type="dxa"/>
            <w:vAlign w:val="bottom"/>
            <w:shd w:val="clear" w:color="auto" w:fill="CCEEFF"/>
          </w:tcPr>
          <w:p>
            <w:pPr>
              <w:spacing w:after="0"/>
              <w:rPr>
                <w:sz w:val="2"/>
                <w:szCs w:val="2"/>
                <w:color w:val="auto"/>
              </w:rPr>
            </w:pPr>
          </w:p>
        </w:tc>
      </w:tr>
      <w:tr>
        <w:trPr>
          <w:trHeight w:val="129"/>
        </w:trPr>
        <w:tc>
          <w:tcPr>
            <w:tcW w:w="1040" w:type="dxa"/>
            <w:vAlign w:val="bottom"/>
            <w:gridSpan w:val="2"/>
          </w:tcPr>
          <w:p>
            <w:pPr>
              <w:jc w:val="right"/>
              <w:ind w:right="696"/>
              <w:spacing w:after="0" w:line="129" w:lineRule="exact"/>
              <w:rPr>
                <w:rFonts w:ascii="Arial" w:cs="Arial" w:eastAsia="Arial" w:hAnsi="Arial"/>
                <w:sz w:val="13"/>
                <w:szCs w:val="13"/>
                <w:color w:val="0000EE"/>
                <w:w w:val="79"/>
              </w:rPr>
            </w:pPr>
            <w:hyperlink w:anchor="page6">
              <w:r>
                <w:rPr>
                  <w:rFonts w:ascii="Arial" w:cs="Arial" w:eastAsia="Arial" w:hAnsi="Arial"/>
                  <w:sz w:val="13"/>
                  <w:szCs w:val="13"/>
                  <w:color w:val="0000EE"/>
                  <w:w w:val="79"/>
                </w:rPr>
                <w:t>99.</w:t>
              </w:r>
              <w:r>
                <w:rPr>
                  <w:rFonts w:ascii="Arial" w:cs="Arial" w:eastAsia="Arial" w:hAnsi="Arial"/>
                  <w:sz w:val="13"/>
                  <w:szCs w:val="13"/>
                  <w:u w:val="single" w:color="auto"/>
                  <w:color w:val="0000EE"/>
                  <w:w w:val="79"/>
                </w:rPr>
                <w:t>02</w:t>
              </w:r>
            </w:hyperlink>
          </w:p>
        </w:tc>
        <w:tc>
          <w:tcPr>
            <w:tcW w:w="220" w:type="dxa"/>
            <w:vAlign w:val="bottom"/>
          </w:tcPr>
          <w:p>
            <w:pPr>
              <w:spacing w:after="0"/>
              <w:rPr>
                <w:sz w:val="11"/>
                <w:szCs w:val="11"/>
                <w:color w:val="auto"/>
              </w:rPr>
            </w:pPr>
          </w:p>
        </w:tc>
        <w:tc>
          <w:tcPr>
            <w:tcW w:w="10200" w:type="dxa"/>
            <w:vAlign w:val="bottom"/>
          </w:tcPr>
          <w:p>
            <w:pPr>
              <w:spacing w:after="0" w:line="129" w:lineRule="exact"/>
              <w:rPr>
                <w:sz w:val="20"/>
                <w:szCs w:val="20"/>
                <w:color w:val="auto"/>
              </w:rPr>
            </w:pPr>
            <w:r>
              <w:rPr>
                <w:rFonts w:ascii="Arial" w:cs="Arial" w:eastAsia="Arial" w:hAnsi="Arial"/>
                <w:sz w:val="13"/>
                <w:szCs w:val="13"/>
                <w:color w:val="auto"/>
              </w:rPr>
              <w:t>Investor Presentation of ACM Research, Inc. dated June 17, 2019</w:t>
            </w:r>
          </w:p>
        </w:tc>
      </w:tr>
      <w:tr>
        <w:trPr>
          <w:trHeight w:val="962"/>
        </w:trPr>
        <w:tc>
          <w:tcPr>
            <w:tcW w:w="28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1"/>
          </w:cols>
          <w:pgMar w:left="219" w:top="447" w:right="219" w:bottom="1440" w:gutter="0" w:footer="0" w:header="0"/>
        </w:sectPr>
      </w:pPr>
    </w:p>
    <w:bookmarkStart w:id="2" w:name="page3"/>
    <w:bookmarkEnd w:id="2"/>
    <w:p>
      <w:pPr>
        <w:ind w:left="5360"/>
        <w:spacing w:after="0"/>
        <w:rPr>
          <w:sz w:val="20"/>
          <w:szCs w:val="20"/>
          <w:color w:val="auto"/>
        </w:rPr>
      </w:pPr>
      <w:r>
        <w:rPr>
          <w:rFonts w:ascii="Arial" w:cs="Arial" w:eastAsia="Arial" w:hAnsi="Arial"/>
          <w:sz w:val="13"/>
          <w:szCs w:val="13"/>
          <w:b w:val="1"/>
          <w:bCs w:val="1"/>
          <w:color w:val="auto"/>
        </w:rPr>
        <w:t>SIGNATURE</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ACM RESEARCH, INC.</w:t>
      </w:r>
    </w:p>
    <w:p>
      <w:pPr>
        <w:spacing w:after="0" w:line="168" w:lineRule="exact"/>
        <w:rPr>
          <w:sz w:val="20"/>
          <w:szCs w:val="20"/>
          <w:color w:val="auto"/>
        </w:rPr>
      </w:pPr>
    </w:p>
    <w:p>
      <w:pPr>
        <w:ind w:left="5500"/>
        <w:spacing w:after="0"/>
        <w:tabs>
          <w:tab w:leader="none" w:pos="64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9525</wp:posOffset>
            </wp:positionV>
            <wp:extent cx="320040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0400" cy="12700"/>
                    </a:xfrm>
                    <a:prstGeom prst="rect">
                      <a:avLst/>
                    </a:prstGeom>
                    <a:noFill/>
                  </pic:spPr>
                </pic:pic>
              </a:graphicData>
            </a:graphic>
          </wp:anchor>
        </w:drawing>
      </w:r>
    </w:p>
    <w:p>
      <w:pPr>
        <w:spacing w:after="0" w:line="13"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David H. Wang</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3"/>
          <w:szCs w:val="13"/>
          <w:color w:val="auto"/>
        </w:rPr>
        <w:t>Chief Executive Officer and President</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Dated: June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1118235</wp:posOffset>
            </wp:positionV>
            <wp:extent cx="72828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2815" cy="6350"/>
                    </a:xfrm>
                    <a:prstGeom prst="rect">
                      <a:avLst/>
                    </a:prstGeom>
                    <a:noFill/>
                  </pic:spPr>
                </pic:pic>
              </a:graphicData>
            </a:graphic>
          </wp:anchor>
        </w:drawing>
      </w:r>
    </w:p>
    <w:p>
      <w:pPr>
        <w:sectPr>
          <w:pgSz w:w="11900" w:h="16838" w:orient="portrait"/>
          <w:cols w:equalWidth="0" w:num="1">
            <w:col w:w="10239"/>
          </w:cols>
          <w:pgMar w:left="220" w:top="44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125730</wp:posOffset>
            </wp:positionV>
            <wp:extent cx="982980" cy="610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61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ACM Research Announces Strategic Plan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Extend Access to China’s Capital Markets</w:t>
      </w:r>
    </w:p>
    <w:p>
      <w:pPr>
        <w:spacing w:after="0" w:line="150" w:lineRule="exact"/>
        <w:rPr>
          <w:sz w:val="20"/>
          <w:szCs w:val="20"/>
          <w:color w:val="auto"/>
        </w:rPr>
      </w:pPr>
    </w:p>
    <w:p>
      <w:pPr>
        <w:ind w:left="121" w:hanging="121"/>
        <w:spacing w:after="0"/>
        <w:tabs>
          <w:tab w:leader="none" w:pos="121" w:val="left"/>
        </w:tabs>
        <w:numPr>
          <w:ilvl w:val="0"/>
          <w:numId w:val="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Process initiated to list shares of subsidiary ACM Shanghai on STAR Market</w:t>
      </w:r>
    </w:p>
    <w:p>
      <w:pPr>
        <w:spacing w:after="0" w:line="13" w:lineRule="exact"/>
        <w:rPr>
          <w:rFonts w:ascii="Arial" w:cs="Arial" w:eastAsia="Arial" w:hAnsi="Arial"/>
          <w:sz w:val="13"/>
          <w:szCs w:val="13"/>
          <w:b w:val="1"/>
          <w:bCs w:val="1"/>
          <w:i w:val="1"/>
          <w:iCs w:val="1"/>
          <w:color w:val="auto"/>
        </w:rPr>
      </w:pPr>
    </w:p>
    <w:p>
      <w:pPr>
        <w:ind w:left="121" w:hanging="121"/>
        <w:spacing w:after="0"/>
        <w:tabs>
          <w:tab w:leader="none" w:pos="121" w:val="left"/>
        </w:tabs>
        <w:numPr>
          <w:ilvl w:val="0"/>
          <w:numId w:val="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Definitive agreements executed for private placement in subsidiary to meet listing requirements</w:t>
      </w:r>
    </w:p>
    <w:p>
      <w:pPr>
        <w:spacing w:after="0" w:line="9" w:lineRule="exact"/>
        <w:rPr>
          <w:rFonts w:ascii="Arial" w:cs="Arial" w:eastAsia="Arial" w:hAnsi="Arial"/>
          <w:sz w:val="13"/>
          <w:szCs w:val="13"/>
          <w:b w:val="1"/>
          <w:bCs w:val="1"/>
          <w:i w:val="1"/>
          <w:iCs w:val="1"/>
          <w:color w:val="auto"/>
        </w:rPr>
      </w:pPr>
    </w:p>
    <w:p>
      <w:pPr>
        <w:ind w:left="121" w:hanging="121"/>
        <w:spacing w:after="0"/>
        <w:tabs>
          <w:tab w:leader="none" w:pos="121" w:val="left"/>
        </w:tabs>
        <w:numPr>
          <w:ilvl w:val="0"/>
          <w:numId w:val="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ACM Research committed to maintaining Nasdaq listing and focusing on global opportunities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Conference call at 5 pm ET today, June 17, 2019</w:t>
      </w:r>
    </w:p>
    <w:p>
      <w:pPr>
        <w:spacing w:after="0" w:line="168" w:lineRule="exact"/>
        <w:rPr>
          <w:sz w:val="20"/>
          <w:szCs w:val="20"/>
          <w:color w:val="auto"/>
        </w:rPr>
      </w:pPr>
    </w:p>
    <w:p>
      <w:pPr>
        <w:ind w:left="1" w:right="220"/>
        <w:spacing w:after="0" w:line="319" w:lineRule="auto"/>
        <w:rPr>
          <w:sz w:val="20"/>
          <w:szCs w:val="20"/>
          <w:color w:val="auto"/>
        </w:rPr>
      </w:pPr>
      <w:r>
        <w:rPr>
          <w:rFonts w:ascii="Arial" w:cs="Arial" w:eastAsia="Arial" w:hAnsi="Arial"/>
          <w:sz w:val="12"/>
          <w:szCs w:val="12"/>
          <w:color w:val="auto"/>
        </w:rPr>
        <w:t>FREMONT, California, June 17, 2019 (GlobeNewswire) – ACM Research, Inc. (“ACM” or the “Company”) (NASDAQ:ACMR), a provider of single-wafer wet cleaning equipment used by manufacturers of advanced semiconductors, today announced a strategic plan to extend its access to China’s capital markets to further support ACM’s mission to become a leading global provider of semiconductor capital equipment.</w:t>
      </w:r>
    </w:p>
    <w:p>
      <w:pPr>
        <w:spacing w:after="0" w:line="109" w:lineRule="exact"/>
        <w:rPr>
          <w:sz w:val="20"/>
          <w:szCs w:val="20"/>
          <w:color w:val="auto"/>
        </w:rPr>
      </w:pPr>
    </w:p>
    <w:p>
      <w:pPr>
        <w:ind w:left="1"/>
        <w:spacing w:after="0" w:line="262" w:lineRule="auto"/>
        <w:rPr>
          <w:sz w:val="20"/>
          <w:szCs w:val="20"/>
          <w:color w:val="auto"/>
        </w:rPr>
      </w:pPr>
      <w:r>
        <w:rPr>
          <w:rFonts w:ascii="Arial" w:cs="Arial" w:eastAsia="Arial" w:hAnsi="Arial"/>
          <w:sz w:val="13"/>
          <w:szCs w:val="13"/>
          <w:color w:val="auto"/>
        </w:rPr>
        <w:t>ACM will seek to list, within the next three years, shares of its principal operating subsidiary ACM (Shanghai) Research, Inc. (“ACM Shanghai”) on the Shanghai Stock Exchange’s Sci-Tech innovAtion boaRd (the “STAR Market,” previously referred to as the Science and Technology Innovation Board or STIB), a new exchange intended to support innovative companies in China. ACM plans to list ACM Shanghai shares on the STAR Market to access a new source of growth capital in its primary market, raise ACM’s profile with investors and potential customers in the region, and help solidify ACM’s position as a global supplier to the semiconductor capital equipment market.</w:t>
      </w:r>
    </w:p>
    <w:p>
      <w:pPr>
        <w:spacing w:after="0" w:line="141" w:lineRule="exact"/>
        <w:rPr>
          <w:sz w:val="20"/>
          <w:szCs w:val="20"/>
          <w:color w:val="auto"/>
        </w:rPr>
      </w:pPr>
    </w:p>
    <w:p>
      <w:pPr>
        <w:ind w:left="1" w:right="80"/>
        <w:spacing w:after="0" w:line="318" w:lineRule="auto"/>
        <w:rPr>
          <w:sz w:val="20"/>
          <w:szCs w:val="20"/>
          <w:color w:val="auto"/>
        </w:rPr>
      </w:pPr>
      <w:r>
        <w:rPr>
          <w:rFonts w:ascii="Arial" w:cs="Arial" w:eastAsia="Arial" w:hAnsi="Arial"/>
          <w:sz w:val="11"/>
          <w:szCs w:val="11"/>
          <w:color w:val="auto"/>
        </w:rPr>
        <w:t>To qualify for a STAR Market listing, ACM Shanghai is required to have multiple independent shareholders. As a first step, ACM entered into agreements on June 12, 2019 under which third-party investors will invest an aggregate of RMB 161.8 million ($23.5 million at current exchange rates) into ACM Shanghai at a pre-money valuation of RMB 4.65 billion ($674.5 million), and agreements with ACM Shanghai employee entities to invest an aggregate of RMB 26.1 million ($3.8 million) at a pre-money valuation of RMB 3.72 billion ($539.6 million). The total proceeds of RMB 187.9 million ($27.3 million) from the investments are due in July 2019 and will be reserved by ACM Shanghai in segregated accounts until ACM Shanghai completes a successful listing on the STAR Market. If the Company abandons the Star Market listing or the listing is not completed in approximately three years, ACM Shanghai will return the original capital amount to the investors. Participants include SL Capital Partners, several China-based private equity firms, and other China-based investors.</w:t>
      </w:r>
    </w:p>
    <w:p>
      <w:pPr>
        <w:spacing w:after="0" w:line="115" w:lineRule="exact"/>
        <w:rPr>
          <w:sz w:val="20"/>
          <w:szCs w:val="20"/>
          <w:color w:val="auto"/>
        </w:rPr>
      </w:pPr>
    </w:p>
    <w:p>
      <w:pPr>
        <w:ind w:left="1" w:right="80"/>
        <w:spacing w:after="0" w:line="265" w:lineRule="auto"/>
        <w:rPr>
          <w:sz w:val="20"/>
          <w:szCs w:val="20"/>
          <w:color w:val="auto"/>
        </w:rPr>
      </w:pPr>
      <w:r>
        <w:rPr>
          <w:rFonts w:ascii="Arial" w:cs="Arial" w:eastAsia="Arial" w:hAnsi="Arial"/>
          <w:sz w:val="13"/>
          <w:szCs w:val="13"/>
          <w:color w:val="auto"/>
        </w:rPr>
        <w:t>ACM’s President and Chief Executive Officer Dr. David Wang commented, “Our plan is intended to better align ACM’s capital structure with its mission to become a leading global provider of semiconductor capital equipment, where our innovative SAPS, TEBO, Tahoe and ECP technologies position us for significant growth. We are acting now in order to realize a favorable valuation, to solidify ACM’s position as a key local player in China, and to fund the development of the world-class capabilities necessary to win additional large IC manufacturers as customers.”</w:t>
      </w:r>
    </w:p>
    <w:p>
      <w:pPr>
        <w:spacing w:after="0" w:line="140" w:lineRule="exact"/>
        <w:rPr>
          <w:sz w:val="20"/>
          <w:szCs w:val="20"/>
          <w:color w:val="auto"/>
        </w:rPr>
      </w:pPr>
    </w:p>
    <w:p>
      <w:pPr>
        <w:jc w:val="both"/>
        <w:ind w:left="1"/>
        <w:spacing w:after="0" w:line="265" w:lineRule="auto"/>
        <w:rPr>
          <w:sz w:val="20"/>
          <w:szCs w:val="20"/>
          <w:color w:val="auto"/>
        </w:rPr>
      </w:pPr>
      <w:r>
        <w:rPr>
          <w:rFonts w:ascii="Arial" w:cs="Arial" w:eastAsia="Arial" w:hAnsi="Arial"/>
          <w:sz w:val="13"/>
          <w:szCs w:val="13"/>
          <w:color w:val="auto"/>
        </w:rPr>
        <w:t>Wang continued, “Our global headquarters will remain in Fremont, California, and we are committed to maintaining the Nasdaq listing of ACM’s Class A common stock. We believe listing in two stock markets will further enable us not only to scale our business in mainland China, but also to open our business to broader opportunities in Taiwan, Korea, Japan, Europe, and the United States. A key element of our growth strategy is to be close to customers, close to world-class engineering talent, and close to our supply chain, as well as to our investors.”</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Conference Call Details</w:t>
      </w:r>
    </w:p>
    <w:p>
      <w:pPr>
        <w:spacing w:after="0" w:line="172" w:lineRule="exact"/>
        <w:rPr>
          <w:sz w:val="20"/>
          <w:szCs w:val="20"/>
          <w:color w:val="auto"/>
        </w:rPr>
      </w:pPr>
    </w:p>
    <w:p>
      <w:pPr>
        <w:ind w:left="1" w:right="440"/>
        <w:spacing w:after="0" w:line="276" w:lineRule="auto"/>
        <w:rPr>
          <w:sz w:val="20"/>
          <w:szCs w:val="20"/>
          <w:color w:val="auto"/>
        </w:rPr>
      </w:pPr>
      <w:r>
        <w:rPr>
          <w:rFonts w:ascii="Arial" w:cs="Arial" w:eastAsia="Arial" w:hAnsi="Arial"/>
          <w:sz w:val="13"/>
          <w:szCs w:val="13"/>
          <w:color w:val="auto"/>
        </w:rPr>
        <w:t xml:space="preserve">A conference call to discuss the proposed STAR Market listing will be held on Monday, June 17, 2019, at 5:00 p.m. Eastern Time (Tuesday, June 18, 2009 at 5:00 a.m. China Time). Dial-in details for the call are as follows. Please reference conference ID </w:t>
      </w:r>
      <w:r>
        <w:rPr>
          <w:rFonts w:ascii="Arial" w:cs="Arial" w:eastAsia="Arial" w:hAnsi="Arial"/>
          <w:sz w:val="13"/>
          <w:szCs w:val="13"/>
          <w:b w:val="1"/>
          <w:bCs w:val="1"/>
          <w:color w:val="auto"/>
        </w:rPr>
        <w:t>8374956</w:t>
      </w:r>
      <w:r>
        <w:rPr>
          <w:rFonts w:ascii="Arial" w:cs="Arial" w:eastAsia="Arial" w:hAnsi="Arial"/>
          <w:sz w:val="13"/>
          <w:szCs w:val="13"/>
          <w:color w:val="auto"/>
        </w:rPr>
        <w:t>.</w:t>
      </w:r>
    </w:p>
    <w:p>
      <w:pPr>
        <w:spacing w:after="0" w:line="148" w:lineRule="exact"/>
        <w:rPr>
          <w:sz w:val="20"/>
          <w:szCs w:val="20"/>
          <w:color w:val="auto"/>
        </w:rPr>
      </w:pPr>
    </w:p>
    <w:tbl>
      <w:tblPr>
        <w:tblLayout w:type="fixed"/>
        <w:tblInd w:w="1" w:type="dxa"/>
        <w:tblCellMar>
          <w:top w:w="0" w:type="dxa"/>
          <w:left w:w="0" w:type="dxa"/>
          <w:bottom w:w="0" w:type="dxa"/>
          <w:right w:w="0" w:type="dxa"/>
        </w:tblCellMar>
      </w:tblPr>
      <w:tr>
        <w:trPr>
          <w:trHeight w:val="167"/>
        </w:trPr>
        <w:tc>
          <w:tcPr>
            <w:tcW w:w="1660" w:type="dxa"/>
            <w:vAlign w:val="bottom"/>
          </w:tcPr>
          <w:p>
            <w:pPr>
              <w:spacing w:after="0"/>
              <w:rPr>
                <w:sz w:val="14"/>
                <w:szCs w:val="14"/>
                <w:color w:val="auto"/>
              </w:rPr>
            </w:pPr>
          </w:p>
        </w:tc>
        <w:tc>
          <w:tcPr>
            <w:tcW w:w="2320" w:type="dxa"/>
            <w:vAlign w:val="bottom"/>
          </w:tcPr>
          <w:p>
            <w:pPr>
              <w:ind w:left="680"/>
              <w:spacing w:after="0"/>
              <w:rPr>
                <w:sz w:val="20"/>
                <w:szCs w:val="20"/>
                <w:color w:val="auto"/>
              </w:rPr>
            </w:pPr>
            <w:r>
              <w:rPr>
                <w:rFonts w:ascii="Arial" w:cs="Arial" w:eastAsia="Arial" w:hAnsi="Arial"/>
                <w:sz w:val="13"/>
                <w:szCs w:val="13"/>
                <w:b w:val="1"/>
                <w:bCs w:val="1"/>
                <w:color w:val="auto"/>
              </w:rPr>
              <w:t>Phone Number</w:t>
            </w:r>
          </w:p>
        </w:tc>
        <w:tc>
          <w:tcPr>
            <w:tcW w:w="1660" w:type="dxa"/>
            <w:vAlign w:val="bottom"/>
          </w:tcPr>
          <w:p>
            <w:pPr>
              <w:ind w:left="640"/>
              <w:spacing w:after="0"/>
              <w:rPr>
                <w:sz w:val="20"/>
                <w:szCs w:val="20"/>
                <w:color w:val="auto"/>
              </w:rPr>
            </w:pPr>
            <w:r>
              <w:rPr>
                <w:rFonts w:ascii="Arial" w:cs="Arial" w:eastAsia="Arial" w:hAnsi="Arial"/>
                <w:sz w:val="13"/>
                <w:szCs w:val="13"/>
                <w:b w:val="1"/>
                <w:bCs w:val="1"/>
                <w:color w:val="auto"/>
                <w:w w:val="92"/>
              </w:rPr>
              <w:t>Toll-Free Number</w:t>
            </w:r>
          </w:p>
        </w:tc>
        <w:tc>
          <w:tcPr>
            <w:tcW w:w="0" w:type="dxa"/>
            <w:vAlign w:val="bottom"/>
          </w:tcPr>
          <w:p>
            <w:pPr>
              <w:spacing w:after="0"/>
              <w:rPr>
                <w:sz w:val="1"/>
                <w:szCs w:val="1"/>
                <w:color w:val="auto"/>
              </w:rPr>
            </w:pPr>
          </w:p>
        </w:tc>
      </w:tr>
      <w:tr>
        <w:trPr>
          <w:trHeight w:val="179"/>
        </w:trPr>
        <w:tc>
          <w:tcPr>
            <w:tcW w:w="1660" w:type="dxa"/>
            <w:vAlign w:val="bottom"/>
          </w:tcPr>
          <w:p>
            <w:pPr>
              <w:spacing w:after="0"/>
              <w:rPr>
                <w:sz w:val="20"/>
                <w:szCs w:val="20"/>
                <w:color w:val="auto"/>
              </w:rPr>
            </w:pPr>
            <w:r>
              <w:rPr>
                <w:rFonts w:ascii="Arial" w:cs="Arial" w:eastAsia="Arial" w:hAnsi="Arial"/>
                <w:sz w:val="13"/>
                <w:szCs w:val="13"/>
                <w:color w:val="auto"/>
              </w:rPr>
              <w:t>United States</w:t>
            </w:r>
          </w:p>
        </w:tc>
        <w:tc>
          <w:tcPr>
            <w:tcW w:w="2320" w:type="dxa"/>
            <w:vAlign w:val="bottom"/>
          </w:tcPr>
          <w:p>
            <w:pPr>
              <w:ind w:left="680"/>
              <w:spacing w:after="0"/>
              <w:rPr>
                <w:sz w:val="20"/>
                <w:szCs w:val="20"/>
                <w:color w:val="auto"/>
              </w:rPr>
            </w:pPr>
            <w:r>
              <w:rPr>
                <w:rFonts w:ascii="Arial" w:cs="Arial" w:eastAsia="Arial" w:hAnsi="Arial"/>
                <w:sz w:val="13"/>
                <w:szCs w:val="13"/>
                <w:color w:val="auto"/>
              </w:rPr>
              <w:t>+ 1 (845) 675-0437</w:t>
            </w:r>
          </w:p>
        </w:tc>
        <w:tc>
          <w:tcPr>
            <w:tcW w:w="1660" w:type="dxa"/>
            <w:vAlign w:val="bottom"/>
          </w:tcPr>
          <w:p>
            <w:pPr>
              <w:ind w:left="640"/>
              <w:spacing w:after="0"/>
              <w:rPr>
                <w:sz w:val="20"/>
                <w:szCs w:val="20"/>
                <w:color w:val="auto"/>
              </w:rPr>
            </w:pPr>
            <w:r>
              <w:rPr>
                <w:rFonts w:ascii="Arial" w:cs="Arial" w:eastAsia="Arial" w:hAnsi="Arial"/>
                <w:sz w:val="13"/>
                <w:szCs w:val="13"/>
                <w:color w:val="auto"/>
                <w:w w:val="90"/>
              </w:rPr>
              <w:t>+ 1 (866) 519-4004</w:t>
            </w:r>
          </w:p>
        </w:tc>
        <w:tc>
          <w:tcPr>
            <w:tcW w:w="0" w:type="dxa"/>
            <w:vAlign w:val="bottom"/>
          </w:tcPr>
          <w:p>
            <w:pPr>
              <w:spacing w:after="0"/>
              <w:rPr>
                <w:sz w:val="1"/>
                <w:szCs w:val="1"/>
                <w:color w:val="auto"/>
              </w:rPr>
            </w:pPr>
          </w:p>
        </w:tc>
      </w:tr>
      <w:tr>
        <w:trPr>
          <w:trHeight w:val="179"/>
        </w:trPr>
        <w:tc>
          <w:tcPr>
            <w:tcW w:w="1660" w:type="dxa"/>
            <w:vAlign w:val="bottom"/>
          </w:tcPr>
          <w:p>
            <w:pPr>
              <w:spacing w:after="0"/>
              <w:rPr>
                <w:sz w:val="20"/>
                <w:szCs w:val="20"/>
                <w:color w:val="auto"/>
              </w:rPr>
            </w:pPr>
            <w:r>
              <w:rPr>
                <w:rFonts w:ascii="Arial" w:cs="Arial" w:eastAsia="Arial" w:hAnsi="Arial"/>
                <w:sz w:val="13"/>
                <w:szCs w:val="13"/>
                <w:color w:val="auto"/>
              </w:rPr>
              <w:t>Hong Kong</w:t>
            </w:r>
          </w:p>
        </w:tc>
        <w:tc>
          <w:tcPr>
            <w:tcW w:w="2320" w:type="dxa"/>
            <w:vAlign w:val="bottom"/>
          </w:tcPr>
          <w:p>
            <w:pPr>
              <w:ind w:left="680"/>
              <w:spacing w:after="0"/>
              <w:rPr>
                <w:sz w:val="20"/>
                <w:szCs w:val="20"/>
                <w:color w:val="auto"/>
              </w:rPr>
            </w:pPr>
            <w:r>
              <w:rPr>
                <w:rFonts w:ascii="Arial" w:cs="Arial" w:eastAsia="Arial" w:hAnsi="Arial"/>
                <w:sz w:val="13"/>
                <w:szCs w:val="13"/>
                <w:color w:val="auto"/>
              </w:rPr>
              <w:t>+ 852 30186771</w:t>
            </w:r>
          </w:p>
        </w:tc>
        <w:tc>
          <w:tcPr>
            <w:tcW w:w="1660" w:type="dxa"/>
            <w:vAlign w:val="bottom"/>
          </w:tcPr>
          <w:p>
            <w:pPr>
              <w:ind w:left="640"/>
              <w:spacing w:after="0"/>
              <w:rPr>
                <w:sz w:val="20"/>
                <w:szCs w:val="20"/>
                <w:color w:val="auto"/>
              </w:rPr>
            </w:pPr>
            <w:r>
              <w:rPr>
                <w:rFonts w:ascii="Arial" w:cs="Arial" w:eastAsia="Arial" w:hAnsi="Arial"/>
                <w:sz w:val="13"/>
                <w:szCs w:val="13"/>
                <w:color w:val="auto"/>
                <w:w w:val="98"/>
              </w:rPr>
              <w:t>+ 852 800906601</w:t>
            </w:r>
          </w:p>
        </w:tc>
        <w:tc>
          <w:tcPr>
            <w:tcW w:w="0" w:type="dxa"/>
            <w:vAlign w:val="bottom"/>
          </w:tcPr>
          <w:p>
            <w:pPr>
              <w:spacing w:after="0"/>
              <w:rPr>
                <w:sz w:val="1"/>
                <w:szCs w:val="1"/>
                <w:color w:val="auto"/>
              </w:rPr>
            </w:pPr>
          </w:p>
        </w:tc>
      </w:tr>
      <w:tr>
        <w:trPr>
          <w:trHeight w:val="174"/>
        </w:trPr>
        <w:tc>
          <w:tcPr>
            <w:tcW w:w="1660" w:type="dxa"/>
            <w:vAlign w:val="bottom"/>
            <w:vMerge w:val="restart"/>
          </w:tcPr>
          <w:p>
            <w:pPr>
              <w:spacing w:after="0"/>
              <w:rPr>
                <w:sz w:val="20"/>
                <w:szCs w:val="20"/>
                <w:color w:val="auto"/>
              </w:rPr>
            </w:pPr>
            <w:r>
              <w:rPr>
                <w:rFonts w:ascii="Arial" w:cs="Arial" w:eastAsia="Arial" w:hAnsi="Arial"/>
                <w:sz w:val="13"/>
                <w:szCs w:val="13"/>
                <w:color w:val="auto"/>
              </w:rPr>
              <w:t>Mainland China</w:t>
            </w:r>
          </w:p>
        </w:tc>
        <w:tc>
          <w:tcPr>
            <w:tcW w:w="2320" w:type="dxa"/>
            <w:vAlign w:val="bottom"/>
          </w:tcPr>
          <w:p>
            <w:pPr>
              <w:ind w:left="680"/>
              <w:spacing w:after="0"/>
              <w:rPr>
                <w:sz w:val="20"/>
                <w:szCs w:val="20"/>
                <w:color w:val="auto"/>
              </w:rPr>
            </w:pPr>
            <w:r>
              <w:rPr>
                <w:rFonts w:ascii="Arial" w:cs="Arial" w:eastAsia="Arial" w:hAnsi="Arial"/>
                <w:sz w:val="13"/>
                <w:szCs w:val="13"/>
                <w:color w:val="auto"/>
              </w:rPr>
              <w:t>+ 86 8008190121</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660" w:type="dxa"/>
            <w:vAlign w:val="bottom"/>
            <w:vMerge w:val="continue"/>
          </w:tcPr>
          <w:p>
            <w:pPr>
              <w:spacing w:after="0"/>
              <w:rPr>
                <w:sz w:val="6"/>
                <w:szCs w:val="6"/>
                <w:color w:val="auto"/>
              </w:rPr>
            </w:pPr>
          </w:p>
        </w:tc>
        <w:tc>
          <w:tcPr>
            <w:tcW w:w="2320" w:type="dxa"/>
            <w:vAlign w:val="bottom"/>
            <w:vMerge w:val="restart"/>
          </w:tcPr>
          <w:p>
            <w:pPr>
              <w:ind w:left="660"/>
              <w:spacing w:after="0"/>
              <w:rPr>
                <w:sz w:val="20"/>
                <w:szCs w:val="20"/>
                <w:color w:val="auto"/>
              </w:rPr>
            </w:pPr>
            <w:r>
              <w:rPr>
                <w:rFonts w:ascii="Arial" w:cs="Arial" w:eastAsia="Arial" w:hAnsi="Arial"/>
                <w:sz w:val="13"/>
                <w:szCs w:val="13"/>
                <w:color w:val="auto"/>
              </w:rPr>
              <w:t>+ 86 4006208038</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6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660" w:type="dxa"/>
            <w:vAlign w:val="bottom"/>
          </w:tcPr>
          <w:p>
            <w:pPr>
              <w:spacing w:after="0"/>
              <w:rPr>
                <w:sz w:val="20"/>
                <w:szCs w:val="20"/>
                <w:color w:val="auto"/>
              </w:rPr>
            </w:pPr>
            <w:r>
              <w:rPr>
                <w:rFonts w:ascii="Arial" w:cs="Arial" w:eastAsia="Arial" w:hAnsi="Arial"/>
                <w:sz w:val="13"/>
                <w:szCs w:val="13"/>
                <w:color w:val="auto"/>
              </w:rPr>
              <w:t>Other International</w:t>
            </w:r>
          </w:p>
        </w:tc>
        <w:tc>
          <w:tcPr>
            <w:tcW w:w="2320" w:type="dxa"/>
            <w:vAlign w:val="bottom"/>
          </w:tcPr>
          <w:p>
            <w:pPr>
              <w:ind w:left="680"/>
              <w:spacing w:after="0"/>
              <w:rPr>
                <w:sz w:val="20"/>
                <w:szCs w:val="20"/>
                <w:color w:val="auto"/>
              </w:rPr>
            </w:pPr>
            <w:r>
              <w:rPr>
                <w:rFonts w:ascii="Arial" w:cs="Arial" w:eastAsia="Arial" w:hAnsi="Arial"/>
                <w:sz w:val="13"/>
                <w:szCs w:val="13"/>
                <w:color w:val="auto"/>
              </w:rPr>
              <w:t>+ 65 67135090</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
        <w:spacing w:after="0"/>
        <w:rPr>
          <w:sz w:val="20"/>
          <w:szCs w:val="20"/>
          <w:color w:val="auto"/>
        </w:rPr>
      </w:pPr>
      <w:r>
        <w:rPr>
          <w:rFonts w:ascii="Arial" w:cs="Arial" w:eastAsia="Arial" w:hAnsi="Arial"/>
          <w:sz w:val="13"/>
          <w:szCs w:val="13"/>
          <w:color w:val="auto"/>
        </w:rPr>
        <w:t>A recording of the webcast will be available on the investor page of the ACM website at www.acmrcsh.com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28281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2815" cy="6350"/>
                    </a:xfrm>
                    <a:prstGeom prst="rect">
                      <a:avLst/>
                    </a:prstGeom>
                    <a:noFill/>
                  </pic:spPr>
                </pic:pic>
              </a:graphicData>
            </a:graphic>
          </wp:anchor>
        </w:drawing>
      </w:r>
    </w:p>
    <w:p>
      <w:pPr>
        <w:sectPr>
          <w:pgSz w:w="11900" w:h="16838" w:orient="portrait"/>
          <w:cols w:equalWidth="0" w:num="1">
            <w:col w:w="11461"/>
          </w:cols>
          <w:pgMar w:left="219" w:top="149" w:right="219" w:bottom="1440" w:gutter="0" w:footer="0" w:header="0"/>
        </w:sectPr>
      </w:pPr>
    </w:p>
    <w:bookmarkStart w:id="4" w:name="page5"/>
    <w:bookmarkEnd w:id="4"/>
    <w:p>
      <w:pPr>
        <w:ind w:left="1"/>
        <w:spacing w:after="0"/>
        <w:rPr>
          <w:sz w:val="20"/>
          <w:szCs w:val="20"/>
          <w:color w:val="auto"/>
        </w:rPr>
      </w:pPr>
      <w:r>
        <w:rPr>
          <w:rFonts w:ascii="Arial" w:cs="Arial" w:eastAsia="Arial" w:hAnsi="Arial"/>
          <w:sz w:val="13"/>
          <w:szCs w:val="13"/>
          <w:b w:val="1"/>
          <w:bCs w:val="1"/>
          <w:color w:val="auto"/>
        </w:rPr>
        <w:t>Forward-Looking Statements</w:t>
      </w:r>
    </w:p>
    <w:p>
      <w:pPr>
        <w:spacing w:after="0" w:line="172" w:lineRule="exact"/>
        <w:rPr>
          <w:sz w:val="20"/>
          <w:szCs w:val="20"/>
          <w:color w:val="auto"/>
        </w:rPr>
      </w:pPr>
    </w:p>
    <w:p>
      <w:pPr>
        <w:ind w:left="1"/>
        <w:spacing w:after="0" w:line="280" w:lineRule="auto"/>
        <w:rPr>
          <w:sz w:val="20"/>
          <w:szCs w:val="20"/>
          <w:color w:val="auto"/>
        </w:rPr>
      </w:pPr>
      <w:r>
        <w:rPr>
          <w:rFonts w:ascii="Arial" w:cs="Arial" w:eastAsia="Arial" w:hAnsi="Arial"/>
          <w:sz w:val="12"/>
          <w:szCs w:val="12"/>
          <w:color w:val="auto"/>
        </w:rPr>
        <w:t>This press release includes forward-looking statements within the meaning of the Private Securities Litigation Reform Act of 1995. Forward-looking statements may be identified by the use of words such as “believe,” “expect,” “will,” “would,” and “plan” and other similar expressions that predict or indicate future events or trends or that are not statements of historical matters. Forward-looking statements include statements in this press release regarding: the proposed listing of ACM Shanghai shares on the STAR Market (including the private investments by China-based investors in furtherance of such listing); the timing of such proposed STAR Market listing (including the timing of the funding of the proposed private investments); ACM’s expectations with respect to the impact of the proposed STAR Market listing on ACM and its product offerings, customer perceptions, revenue and earnings; ACM’s projected future performance, including revenue and earnings, and ACM’s future access to capital markets, including its ability to maintain the Nasdaq listing of its Class A common stock; and the future launch, development and operation of the STAR Market by the Shanghai Stock Exchange. Forward-looking statements are based on ACM’s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ability to successfully complete the proposed STAR Market listing of ACM Shanghai shares. A further description of these risks, uncertainties, and other matters can be found in filings ACM makes with the Securities and Exchange Commission. Because forward-looking statements involve risks and uncertainties, actual results and events may differ materially from results and events currently expected by ACM, and ACM assumes no obligation and expressly disclaims any duty to update information contained in this press release except as required by law.</w:t>
      </w:r>
    </w:p>
    <w:p>
      <w:pPr>
        <w:spacing w:after="0" w:line="13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About ACM Research, Inc.</w:t>
      </w:r>
    </w:p>
    <w:p>
      <w:pPr>
        <w:spacing w:after="0" w:line="172" w:lineRule="exact"/>
        <w:rPr>
          <w:sz w:val="20"/>
          <w:szCs w:val="20"/>
          <w:color w:val="auto"/>
        </w:rPr>
      </w:pPr>
    </w:p>
    <w:p>
      <w:pPr>
        <w:ind w:left="1" w:right="120"/>
        <w:spacing w:after="0" w:line="276" w:lineRule="auto"/>
        <w:rPr>
          <w:sz w:val="20"/>
          <w:szCs w:val="20"/>
          <w:color w:val="auto"/>
        </w:rPr>
      </w:pPr>
      <w:r>
        <w:rPr>
          <w:rFonts w:ascii="Arial" w:cs="Arial" w:eastAsia="Arial" w:hAnsi="Arial"/>
          <w:sz w:val="13"/>
          <w:szCs w:val="13"/>
          <w:color w:val="auto"/>
        </w:rPr>
        <w:t>ACM Research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132" w:lineRule="exact"/>
        <w:rPr>
          <w:sz w:val="20"/>
          <w:szCs w:val="20"/>
          <w:color w:val="auto"/>
        </w:rPr>
      </w:pPr>
    </w:p>
    <w:p>
      <w:pPr>
        <w:ind w:left="1" w:right="100" w:hanging="1"/>
        <w:spacing w:after="0" w:line="265" w:lineRule="auto"/>
        <w:tabs>
          <w:tab w:leader="none" w:pos="124" w:val="left"/>
        </w:tabs>
        <w:numPr>
          <w:ilvl w:val="0"/>
          <w:numId w:val="4"/>
        </w:numPr>
        <w:rPr>
          <w:rFonts w:ascii="Arial" w:cs="Arial" w:eastAsia="Arial" w:hAnsi="Arial"/>
          <w:sz w:val="13"/>
          <w:szCs w:val="13"/>
          <w:color w:val="auto"/>
        </w:rPr>
      </w:pPr>
      <w:r>
        <w:rPr>
          <w:rFonts w:ascii="Arial" w:cs="Arial" w:eastAsia="Arial" w:hAnsi="Arial"/>
          <w:sz w:val="13"/>
          <w:szCs w:val="13"/>
          <w:color w:val="auto"/>
        </w:rPr>
        <w:t>ACM Research, Inc. The ACM logo, SAPS, TEBO and Tahoe are trademarks of ACM Research, Inc. For convenience, these trademarks appear in this press release without ™ symbols, but that practice does not mean that ACM will not assert, to the fullest extent under applicable law, its rights to the trademarks. This press release also contains other companies’ trademarks, registered marks and trade names, which are the property of those companies.</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For investor and media inquiries, please contact:</w:t>
      </w:r>
    </w:p>
    <w:p>
      <w:pPr>
        <w:sectPr>
          <w:pgSz w:w="11900" w:h="16838" w:orient="portrait"/>
          <w:cols w:equalWidth="0" w:num="1">
            <w:col w:w="11421"/>
          </w:cols>
          <w:pgMar w:left="219" w:top="407" w:right="2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41"/>
        <w:spacing w:after="0"/>
        <w:rPr>
          <w:sz w:val="20"/>
          <w:szCs w:val="20"/>
          <w:color w:val="auto"/>
        </w:rPr>
      </w:pPr>
      <w:r>
        <w:rPr>
          <w:rFonts w:ascii="Arial" w:cs="Arial" w:eastAsia="Arial" w:hAnsi="Arial"/>
          <w:sz w:val="11"/>
          <w:szCs w:val="11"/>
          <w:u w:val="single" w:color="auto"/>
          <w:color w:val="auto"/>
        </w:rPr>
        <w:t>In the United States</w:t>
      </w:r>
      <w:r>
        <w:rPr>
          <w:rFonts w:ascii="Arial" w:cs="Arial" w:eastAsia="Arial" w:hAnsi="Arial"/>
          <w:sz w:val="11"/>
          <w:szCs w:val="11"/>
          <w:color w:val="auto"/>
        </w:rPr>
        <w:t>:</w:t>
      </w:r>
    </w:p>
    <w:p>
      <w:pPr>
        <w:spacing w:after="0" w:line="200" w:lineRule="exact"/>
        <w:rPr>
          <w:sz w:val="20"/>
          <w:szCs w:val="20"/>
          <w:color w:val="auto"/>
        </w:rPr>
      </w:pPr>
    </w:p>
    <w:p>
      <w:pPr>
        <w:spacing w:after="0" w:line="328" w:lineRule="exact"/>
        <w:rPr>
          <w:sz w:val="20"/>
          <w:szCs w:val="20"/>
          <w:color w:val="auto"/>
        </w:rPr>
      </w:pPr>
    </w:p>
    <w:p>
      <w:pPr>
        <w:ind w:left="41"/>
        <w:spacing w:after="0"/>
        <w:rPr>
          <w:sz w:val="20"/>
          <w:szCs w:val="20"/>
          <w:color w:val="auto"/>
        </w:rPr>
      </w:pPr>
      <w:r>
        <w:rPr>
          <w:rFonts w:ascii="Arial" w:cs="Arial" w:eastAsia="Arial" w:hAnsi="Arial"/>
          <w:sz w:val="13"/>
          <w:szCs w:val="13"/>
          <w:u w:val="single" w:color="auto"/>
          <w:color w:val="auto"/>
        </w:rPr>
        <w:t>In China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The Blueshirt Group</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Ralph Fong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+1 (415) 489-2195</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ralph@blueshirtgroup.com</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The Blueshirt Group Asia</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Gary Dvorchak, CFA</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+86 (138) 1079-1480</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gary@blueshirtgroup.com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487045</wp:posOffset>
            </wp:positionV>
            <wp:extent cx="728281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2815" cy="6350"/>
                    </a:xfrm>
                    <a:prstGeom prst="rect">
                      <a:avLst/>
                    </a:prstGeom>
                    <a:noFill/>
                  </pic:spPr>
                </pic:pic>
              </a:graphicData>
            </a:graphic>
          </wp:anchor>
        </w:drawing>
      </w:r>
    </w:p>
    <w:p>
      <w:pPr>
        <w:sectPr>
          <w:pgSz w:w="11900" w:h="16838" w:orient="portrait"/>
          <w:cols w:equalWidth="0" w:num="2">
            <w:col w:w="1621" w:space="720"/>
            <w:col w:w="9080"/>
          </w:cols>
          <w:pgMar w:left="219" w:top="407" w:right="259" w:bottom="1440" w:gutter="0" w:footer="0" w:header="0"/>
          <w:type w:val="continuous"/>
        </w:sectPr>
      </w:pPr>
    </w:p>
    <w:bookmarkStart w:id="5" w:name="page6"/>
    <w:bookmarkEnd w:id="5"/>
    <w:p>
      <w:pPr>
        <w:ind w:left="9520"/>
        <w:spacing w:after="0"/>
        <w:rPr>
          <w:sz w:val="20"/>
          <w:szCs w:val="20"/>
          <w:color w:val="auto"/>
        </w:rPr>
      </w:pPr>
      <w:r>
        <w:rPr>
          <w:rFonts w:ascii="Arial" w:cs="Arial" w:eastAsia="Arial" w:hAnsi="Arial"/>
          <w:sz w:val="11"/>
          <w:szCs w:val="11"/>
          <w:b w:val="1"/>
          <w:bCs w:val="1"/>
          <w:color w:val="auto"/>
        </w:rPr>
        <w:t>Exhibit 99.02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26670</wp:posOffset>
            </wp:positionV>
            <wp:extent cx="7328535" cy="5751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8535" cy="5751830"/>
                    </a:xfrm>
                    <a:prstGeom prst="rect">
                      <a:avLst/>
                    </a:prstGeom>
                    <a:noFill/>
                  </pic:spPr>
                </pic:pic>
              </a:graphicData>
            </a:graphic>
          </wp:anchor>
        </w:drawing>
      </w:r>
    </w:p>
    <w:p>
      <w:pPr>
        <w:sectPr>
          <w:pgSz w:w="11900" w:h="16838" w:orient="portrait"/>
          <w:cols w:equalWidth="0" w:num="1">
            <w:col w:w="10240"/>
          </w:cols>
          <w:pgMar w:left="1440" w:top="130" w:right="2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1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8535" cy="5751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5834380</wp:posOffset>
            </wp:positionV>
            <wp:extent cx="728281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2815" cy="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1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8535" cy="5751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1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8535" cy="5751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1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8535" cy="5751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1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8535" cy="5751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1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8535" cy="5751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1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8535" cy="5751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2019-12-28T11:01:10Z</dcterms:created>
  <dcterms:modified xsi:type="dcterms:W3CDTF">2019-12-28T11:01:10Z</dcterms:modified>
</cp:coreProperties>
</file>