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384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384540"/>
                    </a:xfrm>
                    <a:prstGeom prst="rect">
                      <a:avLst/>
                    </a:prstGeom>
                    <a:noFill/>
                  </pic:spPr>
                </pic:pic>
              </a:graphicData>
            </a:graphic>
          </wp:anchor>
        </w:drawing>
      </w:r>
    </w:p>
    <w:p>
      <w:pPr>
        <w:spacing w:after="0" w:line="1204" w:lineRule="exact"/>
        <w:rPr>
          <w:sz w:val="24"/>
          <w:szCs w:val="24"/>
          <w:color w:val="auto"/>
        </w:rPr>
      </w:pPr>
    </w:p>
    <w:p>
      <w:pPr>
        <w:sectPr>
          <w:pgSz w:w="11900" w:h="16941" w:orient="portrait"/>
          <w:cols w:equalWidth="0" w:num="2">
            <w:col w:w="2300" w:space="320"/>
            <w:col w:w="8440"/>
          </w:cols>
          <w:pgMar w:left="460" w:top="216" w:right="37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Wang David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760"/>
        <w:spacing w:after="0" w:line="340"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ACM Research,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4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03" w:lineRule="exact"/>
        <w:rPr>
          <w:sz w:val="24"/>
          <w:szCs w:val="24"/>
          <w:color w:val="auto"/>
        </w:rPr>
      </w:pPr>
    </w:p>
    <w:p>
      <w:pPr>
        <w:sectPr>
          <w:pgSz w:w="11900" w:h="16941" w:orient="portrait"/>
          <w:cols w:equalWidth="0" w:num="3">
            <w:col w:w="3180" w:space="720"/>
            <w:col w:w="3115" w:space="720"/>
            <w:col w:w="3325"/>
          </w:cols>
          <w:pgMar w:left="460" w:top="216" w:right="37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94539</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941" w:orient="portrait"/>
          <w:cols w:equalWidth="0" w:num="2">
            <w:col w:w="3760" w:space="140"/>
            <w:col w:w="7160"/>
          </w:cols>
          <w:pgMar w:left="460" w:top="216" w:right="37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45,837</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180,000</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620,001</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00" w:type="dxa"/>
            <w:vAlign w:val="bottom"/>
            <w:vMerge w:val="continue"/>
          </w:tcPr>
          <w:p>
            <w:pPr>
              <w:spacing w:after="0"/>
              <w:rPr>
                <w:sz w:val="6"/>
                <w:szCs w:val="6"/>
                <w:color w:val="auto"/>
              </w:rPr>
            </w:pPr>
          </w:p>
        </w:tc>
        <w:tc>
          <w:tcPr>
            <w:tcW w:w="78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7.36</w:t>
            </w:r>
          </w:p>
        </w:tc>
        <w:tc>
          <w:tcPr>
            <w:tcW w:w="156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color w:val="0000FF"/>
              </w:rPr>
              <w:t>02/04/2026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545,400</w:t>
            </w:r>
          </w:p>
        </w:tc>
        <w:tc>
          <w:tcPr>
            <w:tcW w:w="72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(1)(2)</w:t>
            </w:r>
          </w:p>
        </w:tc>
        <w:tc>
          <w:tcPr>
            <w:tcW w:w="2200" w:type="dxa"/>
            <w:vAlign w:val="bottom"/>
            <w:vMerge w:val="restart"/>
          </w:tcPr>
          <w:p>
            <w:pPr>
              <w:ind w:left="160"/>
              <w:spacing w:after="0" w:line="152" w:lineRule="exact"/>
              <w:rPr>
                <w:sz w:val="20"/>
                <w:szCs w:val="20"/>
                <w:color w:val="auto"/>
              </w:rPr>
            </w:pPr>
            <w:r>
              <w:rPr>
                <w:rFonts w:ascii="Times New Roman" w:cs="Times New Roman" w:eastAsia="Times New Roman" w:hAnsi="Times New Roman"/>
                <w:sz w:val="13"/>
                <w:szCs w:val="13"/>
                <w:color w:val="0000FF"/>
              </w:rPr>
              <w:t xml:space="preserve">03/19/2030  Common  </w:t>
            </w:r>
            <w:r>
              <w:rPr>
                <w:rFonts w:ascii="Times New Roman" w:cs="Times New Roman" w:eastAsia="Times New Roman" w:hAnsi="Times New Roman"/>
                <w:sz w:val="16"/>
                <w:szCs w:val="16"/>
                <w:color w:val="0000FF"/>
              </w:rPr>
              <w:t>545,400</w:t>
            </w:r>
          </w:p>
        </w:tc>
        <w:tc>
          <w:tcPr>
            <w:tcW w:w="540" w:type="dxa"/>
            <w:vAlign w:val="bottom"/>
            <w:vMerge w:val="restart"/>
          </w:tcPr>
          <w:p>
            <w:pPr>
              <w:jc w:val="right"/>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rPr>
              <w:t>1,636,197</w:t>
            </w:r>
          </w:p>
        </w:tc>
        <w:tc>
          <w:tcPr>
            <w:tcW w:w="3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00FF"/>
                <w:w w:val="74"/>
              </w:rPr>
              <w:t>D</w:t>
            </w:r>
          </w:p>
        </w:tc>
        <w:tc>
          <w:tcPr>
            <w:tcW w:w="0" w:type="dxa"/>
            <w:vAlign w:val="bottom"/>
          </w:tcPr>
          <w:p>
            <w:pPr>
              <w:spacing w:after="0"/>
              <w:rPr>
                <w:sz w:val="1"/>
                <w:szCs w:val="1"/>
                <w:color w:val="auto"/>
              </w:rPr>
            </w:pPr>
          </w:p>
        </w:tc>
      </w:tr>
      <w:tr>
        <w:trPr>
          <w:trHeight w:val="76"/>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90"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20, 2020, the reporting person was granted options to purchase an aggregate of 1,636,197 shares of the Issuer's Class A common stock, based on the satisfaction of certain performance criteria. In general, one-third of the shares subject to the options vest and become exercisable upon an increase in the Issuer's market capitalization (calculated as described in footnote 2) of $1 billion, $2 billion and $3 billion,</w:t>
      </w:r>
    </w:p>
    <w:p>
      <w:pPr>
        <w:sectPr>
          <w:pgSz w:w="11900" w:h="16941" w:orient="portrait"/>
          <w:cols w:equalWidth="0" w:num="1">
            <w:col w:w="11060"/>
          </w:cols>
          <w:pgMar w:left="460" w:top="216" w:right="379" w:bottom="0" w:gutter="0" w:footer="0" w:header="0"/>
          <w:type w:val="continuous"/>
        </w:sectPr>
      </w:pPr>
    </w:p>
    <w:bookmarkStart w:id="1" w:name="page2"/>
    <w:bookmarkEnd w:id="1"/>
    <w:p>
      <w:pPr>
        <w:spacing w:after="0" w:line="250" w:lineRule="auto"/>
        <w:rPr>
          <w:sz w:val="20"/>
          <w:szCs w:val="20"/>
          <w:color w:val="auto"/>
        </w:rPr>
      </w:pPr>
      <w:r>
        <w:rPr>
          <w:rFonts w:ascii="Times New Roman" w:cs="Times New Roman" w:eastAsia="Times New Roman" w:hAnsi="Times New Roman"/>
          <w:sz w:val="13"/>
          <w:szCs w:val="13"/>
          <w:color w:val="008000"/>
        </w:rPr>
        <w:t>respectively, from the market capitalization of $553,383,586 on the date of grant. 545,400 shares vested and became exercisable on February 4, 2026, which was the first trading day as of which the Issuer's market capitalization equaled or exceeded $3,553,383,586.</w:t>
      </w:r>
    </w:p>
    <w:p>
      <w:pPr>
        <w:spacing w:after="0" w:line="19" w:lineRule="exact"/>
        <w:rPr>
          <w:sz w:val="20"/>
          <w:szCs w:val="20"/>
          <w:color w:val="auto"/>
        </w:rPr>
      </w:pPr>
    </w:p>
    <w:p>
      <w:pPr>
        <w:ind w:right="120"/>
        <w:spacing w:after="0" w:line="23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the options, the market capitalization as of a specified trading day is calculated by multiplying (a) the average of the daily volume-weighted average price per share of the Issuer's Class A common stock for each of the trading days occurring during the thirty calendar day period ending on that specified trading day by (b) the total number of issued and outstanding shares of the Issuer's Class A and Class B common stock as of 11:59 p.m. (Eastern time) on such specified trading day.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ind w:left="6560"/>
        <w:spacing w:after="0" w:line="182"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-26670</wp:posOffset>
            </wp:positionV>
            <wp:extent cx="132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-21590</wp:posOffset>
            </wp:positionV>
            <wp:extent cx="1125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5855"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8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2026-02-06T17:04:22Z</dcterms:created>
  <dcterms:modified xsi:type="dcterms:W3CDTF">2026-02-06T17:04:22Z</dcterms:modified>
</cp:coreProperties>
</file>