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August 14, 2019</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420"/>
          </w:cols>
          <w:pgMar w:left="240" w:top="387" w:right="239" w:bottom="1440" w:gutter="0" w:footer="0" w:header="0"/>
        </w:sectPr>
      </w:pPr>
    </w:p>
    <w:p>
      <w:pPr>
        <w:spacing w:after="0" w:line="21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8"/>
          <w:szCs w:val="18"/>
          <w:i w:val="1"/>
          <w:iCs w:val="1"/>
          <w:color w:val="auto"/>
        </w:rPr>
        <w:t>(State or Other</w:t>
      </w:r>
    </w:p>
    <w:p>
      <w:pPr>
        <w:spacing w:after="0" w:line="9" w:lineRule="exact"/>
        <w:rPr>
          <w:sz w:val="24"/>
          <w:szCs w:val="24"/>
          <w:color w:val="auto"/>
        </w:rPr>
      </w:pPr>
    </w:p>
    <w:p>
      <w:pPr>
        <w:ind w:left="720"/>
        <w:spacing w:after="0"/>
        <w:rPr>
          <w:sz w:val="20"/>
          <w:szCs w:val="20"/>
          <w:color w:val="auto"/>
        </w:rPr>
      </w:pPr>
      <w:r>
        <w:rPr>
          <w:rFonts w:ascii="Arial" w:cs="Arial" w:eastAsia="Arial" w:hAnsi="Arial"/>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6"/>
          <w:szCs w:val="16"/>
          <w:i w:val="1"/>
          <w:iCs w:val="1"/>
          <w:color w:val="auto"/>
        </w:rPr>
        <w:t>(Commission</w:t>
      </w:r>
    </w:p>
    <w:p>
      <w:pPr>
        <w:spacing w:after="0" w:line="32" w:lineRule="exact"/>
        <w:rPr>
          <w:sz w:val="24"/>
          <w:szCs w:val="24"/>
          <w:color w:val="auto"/>
        </w:rPr>
      </w:pPr>
    </w:p>
    <w:p>
      <w:pPr>
        <w:jc w:val="center"/>
        <w:ind w:right="206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38" w:orient="portrait"/>
          <w:cols w:equalWidth="0" w:num="3">
            <w:col w:w="4460" w:space="720"/>
            <w:col w:w="3020" w:space="720"/>
            <w:col w:w="2500"/>
          </w:cols>
          <w:pgMar w:left="240" w:top="387" w:right="239" w:bottom="1440" w:gutter="0" w:footer="0" w:header="0"/>
          <w:type w:val="continuous"/>
        </w:sectPr>
      </w:pPr>
    </w:p>
    <w:p>
      <w:pPr>
        <w:spacing w:after="0" w:line="45"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9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4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387"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4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1"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15" w:lineRule="exact"/>
        <w:rPr>
          <w:rFonts w:ascii="MS PGothic" w:cs="MS PGothic" w:eastAsia="MS PGothic" w:hAnsi="MS PGothic"/>
          <w:sz w:val="21"/>
          <w:szCs w:val="21"/>
          <w:color w:val="auto"/>
        </w:rPr>
      </w:pPr>
    </w:p>
    <w:p>
      <w:pPr>
        <w:ind w:left="740" w:hanging="732"/>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20" w:type="dxa"/>
            <w:vAlign w:val="bottom"/>
            <w:gridSpan w:val="2"/>
          </w:tcPr>
          <w:p>
            <w:pPr>
              <w:ind w:left="196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Trading symbol</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6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54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4980" w:type="dxa"/>
            <w:vAlign w:val="bottom"/>
          </w:tcPr>
          <w:p>
            <w:pPr>
              <w:spacing w:after="0"/>
              <w:rPr>
                <w:sz w:val="20"/>
                <w:szCs w:val="20"/>
                <w:color w:val="auto"/>
              </w:rPr>
            </w:pPr>
            <w:r>
              <w:rPr>
                <w:rFonts w:ascii="Arial" w:cs="Arial" w:eastAsia="Arial" w:hAnsi="Arial"/>
                <w:sz w:val="22"/>
                <w:szCs w:val="22"/>
                <w:color w:val="auto"/>
                <w:w w:val="94"/>
              </w:rPr>
              <w:t>or Rule 12b-2 of the Securities Exchange Act of 1934:</w:t>
            </w:r>
          </w:p>
        </w:tc>
        <w:tc>
          <w:tcPr>
            <w:tcW w:w="6180" w:type="dxa"/>
            <w:vAlign w:val="bottom"/>
          </w:tcPr>
          <w:p>
            <w:pPr>
              <w:ind w:left="280"/>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160" w:type="dxa"/>
            <w:vAlign w:val="bottom"/>
            <w:gridSpan w:val="2"/>
          </w:tcPr>
          <w:p>
            <w:pPr>
              <w:spacing w:after="0"/>
              <w:rPr>
                <w:sz w:val="20"/>
                <w:szCs w:val="20"/>
                <w:color w:val="auto"/>
              </w:rPr>
            </w:pPr>
            <w:r>
              <w:rPr>
                <w:rFonts w:ascii="Arial" w:cs="Arial" w:eastAsia="Arial" w:hAnsi="Arial"/>
                <w:sz w:val="22"/>
                <w:szCs w:val="22"/>
                <w:color w:val="auto"/>
                <w:w w:val="89"/>
              </w:rPr>
              <w:t>If an emerging growth company, indicate by check mark if the registrant has elected not to use the extended transition period for</w:t>
            </w:r>
          </w:p>
        </w:tc>
        <w:tc>
          <w:tcPr>
            <w:tcW w:w="26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99"/>
        </w:trPr>
        <w:tc>
          <w:tcPr>
            <w:tcW w:w="11160" w:type="dxa"/>
            <w:vAlign w:val="bottom"/>
            <w:gridSpan w:val="2"/>
          </w:tcPr>
          <w:p>
            <w:pPr>
              <w:spacing w:after="0"/>
              <w:rPr>
                <w:sz w:val="20"/>
                <w:szCs w:val="20"/>
                <w:color w:val="auto"/>
              </w:rPr>
            </w:pPr>
            <w:r>
              <w:rPr>
                <w:rFonts w:ascii="Arial" w:cs="Arial" w:eastAsia="Arial" w:hAnsi="Arial"/>
                <w:sz w:val="22"/>
                <w:szCs w:val="22"/>
                <w:color w:val="auto"/>
                <w:w w:val="93"/>
              </w:rPr>
              <w:t>complying with any new or revised financial accounting standards provided pursuant to Section 13(a) of the Exchange Act.</w:t>
            </w: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tcBorders>
              <w:bottom w:val="single" w:sz="8" w:color="auto"/>
            </w:tcBorders>
          </w:tcPr>
          <w:p>
            <w:pPr>
              <w:spacing w:after="0"/>
              <w:rPr>
                <w:sz w:val="12"/>
                <w:szCs w:val="12"/>
                <w:color w:val="auto"/>
              </w:rPr>
            </w:pPr>
          </w:p>
        </w:tc>
        <w:tc>
          <w:tcPr>
            <w:tcW w:w="6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type w:val="continuous"/>
        </w:sectPr>
      </w:pPr>
    </w:p>
    <w:bookmarkStart w:id="1" w:name="page2"/>
    <w:bookmarkEnd w:id="1"/>
    <w:p>
      <w:pPr>
        <w:spacing w:after="0"/>
        <w:tabs>
          <w:tab w:leader="none" w:pos="150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40"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On August 14, 2019, we entered into an underwriting agreement with Stifel, Nicolaus &amp; Company, Incorporated, as representative of the several underwriters named in Schedule I thereto, whom we refer to as the Underwriters, with respect to our sale to the Underwriters of 1,785,715 shares of Class A common stock, $0.0001 par value per share, which we refer to as the Shares, together with up to 267,857 shares of Class A common stock that may be sold to the Underwriters pursuant to their exercise of an over-allotment option. The Shares and the additional shares of Class A common stock subject to the Underwriters’ over-allotment option have been registered under a registration statement on Form S-3, as amended, that was filed with, and declared effective by, the Securities and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underwriting agreement, (a) we agreed to issue and sell the Shares to the Underwriters for a purchase price of</w:t>
      </w:r>
    </w:p>
    <w:p>
      <w:pPr>
        <w:spacing w:after="0" w:line="43" w:lineRule="exact"/>
        <w:rPr>
          <w:sz w:val="20"/>
          <w:szCs w:val="20"/>
          <w:color w:val="auto"/>
        </w:rPr>
      </w:pPr>
    </w:p>
    <w:p>
      <w:pPr>
        <w:ind w:right="160"/>
        <w:spacing w:after="0" w:line="237" w:lineRule="auto"/>
        <w:rPr>
          <w:sz w:val="20"/>
          <w:szCs w:val="20"/>
          <w:color w:val="auto"/>
        </w:rPr>
      </w:pPr>
      <w:r>
        <w:rPr>
          <w:rFonts w:ascii="Arial" w:cs="Arial" w:eastAsia="Arial" w:hAnsi="Arial"/>
          <w:sz w:val="22"/>
          <w:szCs w:val="22"/>
          <w:color w:val="auto"/>
        </w:rPr>
        <w:t>$13.195 per Share at a closing scheduled to be held on August 19, 2019, and (b) the Underwriters agreed to offer the Shares to the public at a public offering price of $14.00.</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underwriting agreement contains customary representations, warranties and agreements by us, and customary conditions to closing, indemnification obligations of us and the Underwriters, including indemnification for liabilities under the Securities Act of 1933, other obligations of the parties, and termination provisions.</w:t>
      </w:r>
    </w:p>
    <w:p>
      <w:pPr>
        <w:spacing w:after="0" w:line="213"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Pursuant to the underwriting agreement, our directors and executive officers entered into agreements in substantially the form included as an exhibit to the underwriting agreement providing for a 90-day “lock-up” period (ending on November 12, 2019) with respect to sales of our securities, subject to certain exceptions. We agreed that for a period of 90 days (ending on November 12, 2019), we will not, without the prior written consent of Stifel, Nicolaus &amp; Company, Incorporated, offer, sell or otherwise dispose of any shares of Class A common stock, subject to certain exceptions.</w:t>
      </w:r>
    </w:p>
    <w:p>
      <w:pPr>
        <w:spacing w:after="0" w:line="20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foregoing description of the underwriting agreement does not purport to be complete and is subject to, and qualified in its entirety by, the full text of the underwriting agreement, which is included as Exhibit 1.01 to this Current Report on Form 8-K and is incorporated herein by reference.</w:t>
      </w:r>
    </w:p>
    <w:p>
      <w:pPr>
        <w:spacing w:after="0" w:line="207"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Attached as Exhibit 5.01 to this Current Report on Form 8-K is the opinion of K&amp;L Gates LLP, our corporate counsel, regarding the legality of the shares of Class A common stock to be issued in connection with the public offering.</w:t>
      </w:r>
    </w:p>
    <w:p>
      <w:pPr>
        <w:spacing w:after="0" w:line="19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800" w:hanging="792"/>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10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1.</w:t>
              </w:r>
              <w:r>
                <w:rPr>
                  <w:rFonts w:ascii="Arial" w:cs="Arial" w:eastAsia="Arial" w:hAnsi="Arial"/>
                  <w:sz w:val="18"/>
                  <w:szCs w:val="18"/>
                  <w:u w:val="single" w:color="auto"/>
                  <w:color w:val="0000EE"/>
                  <w:w w:val="85"/>
                </w:rPr>
                <w:t>01</w:t>
              </w:r>
            </w:hyperlink>
          </w:p>
        </w:tc>
        <w:tc>
          <w:tcPr>
            <w:tcW w:w="940" w:type="dxa"/>
            <w:vAlign w:val="bottom"/>
          </w:tcPr>
          <w:p>
            <w:pPr>
              <w:spacing w:after="0"/>
              <w:rPr>
                <w:sz w:val="24"/>
                <w:szCs w:val="24"/>
                <w:color w:val="auto"/>
              </w:rPr>
            </w:pPr>
          </w:p>
        </w:tc>
        <w:tc>
          <w:tcPr>
            <w:tcW w:w="348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August 14, 2019</w:t>
              </w:r>
            </w:hyperlink>
          </w:p>
        </w:tc>
        <w:tc>
          <w:tcPr>
            <w:tcW w:w="6680" w:type="dxa"/>
            <w:vAlign w:val="bottom"/>
            <w:gridSpan w:val="2"/>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01</w:t>
              </w:r>
            </w:hyperlink>
          </w:p>
        </w:tc>
        <w:tc>
          <w:tcPr>
            <w:tcW w:w="940" w:type="dxa"/>
            <w:vAlign w:val="bottom"/>
          </w:tcPr>
          <w:p>
            <w:pPr>
              <w:spacing w:after="0"/>
              <w:rPr>
                <w:sz w:val="24"/>
                <w:szCs w:val="24"/>
                <w:color w:val="auto"/>
              </w:rPr>
            </w:pPr>
          </w:p>
        </w:tc>
        <w:tc>
          <w:tcPr>
            <w:tcW w:w="1016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Opinion of K&amp;L Gates LLP dated August 14, 2019</w:t>
              </w:r>
            </w:hyperlink>
          </w:p>
        </w:tc>
      </w:tr>
      <w:tr>
        <w:trPr>
          <w:trHeight w:val="446"/>
        </w:trPr>
        <w:tc>
          <w:tcPr>
            <w:tcW w:w="32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23495</wp:posOffset>
            </wp:positionV>
            <wp:extent cx="34474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 and President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Dated: August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1,785,715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14,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ind w:left="100"/>
        <w:spacing w:after="0" w:line="238" w:lineRule="auto"/>
        <w:rPr>
          <w:sz w:val="20"/>
          <w:szCs w:val="20"/>
          <w:color w:val="auto"/>
        </w:rPr>
      </w:pPr>
      <w:r>
        <w:rPr>
          <w:rFonts w:ascii="Arial" w:cs="Arial" w:eastAsia="Arial" w:hAnsi="Arial"/>
          <w:sz w:val="22"/>
          <w:szCs w:val="22"/>
          <w:color w:val="auto"/>
        </w:rPr>
        <w:t>As Representative of the several Underwriters</w:t>
      </w:r>
    </w:p>
    <w:p>
      <w:pPr>
        <w:spacing w:after="0" w:line="230" w:lineRule="auto"/>
        <w:rPr>
          <w:sz w:val="20"/>
          <w:szCs w:val="20"/>
          <w:color w:val="auto"/>
        </w:rPr>
      </w:pPr>
      <w:r>
        <w:rPr>
          <w:rFonts w:ascii="Arial" w:cs="Arial" w:eastAsia="Arial" w:hAnsi="Arial"/>
          <w:sz w:val="22"/>
          <w:szCs w:val="22"/>
          <w:color w:val="auto"/>
        </w:rPr>
        <w:t>One Montgomery Street</w:t>
      </w:r>
    </w:p>
    <w:p>
      <w:pPr>
        <w:spacing w:after="0" w:line="231" w:lineRule="auto"/>
        <w:rPr>
          <w:sz w:val="20"/>
          <w:szCs w:val="20"/>
          <w:color w:val="auto"/>
        </w:rPr>
      </w:pPr>
      <w:r>
        <w:rPr>
          <w:rFonts w:ascii="Arial" w:cs="Arial" w:eastAsia="Arial" w:hAnsi="Arial"/>
          <w:sz w:val="22"/>
          <w:szCs w:val="22"/>
          <w:color w:val="auto"/>
        </w:rPr>
        <w:t>Suite 3700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 94104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ind w:right="40" w:firstLine="648"/>
        <w:spacing w:after="0" w:line="276" w:lineRule="auto"/>
        <w:rPr>
          <w:sz w:val="20"/>
          <w:szCs w:val="20"/>
          <w:color w:val="auto"/>
        </w:rPr>
      </w:pPr>
      <w:r>
        <w:rPr>
          <w:rFonts w:ascii="Arial" w:cs="Arial" w:eastAsia="Arial" w:hAnsi="Arial"/>
          <w:sz w:val="19"/>
          <w:szCs w:val="19"/>
          <w:b w:val="1"/>
          <w:bCs w:val="1"/>
          <w:color w:val="auto"/>
        </w:rPr>
        <w:t xml:space="preserve">Introductory. </w:t>
      </w:r>
      <w:r>
        <w:rPr>
          <w:rFonts w:ascii="Arial" w:cs="Arial" w:eastAsia="Arial" w:hAnsi="Arial"/>
          <w:sz w:val="19"/>
          <w:szCs w:val="19"/>
          <w:color w:val="auto"/>
        </w:rPr>
        <w:t>ACM Research,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proposes to issue and sell to the several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underwriters named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 “</w:t>
      </w:r>
      <w:r>
        <w:rPr>
          <w:rFonts w:ascii="Arial" w:cs="Arial" w:eastAsia="Arial" w:hAnsi="Arial"/>
          <w:sz w:val="19"/>
          <w:szCs w:val="19"/>
          <w:b w:val="1"/>
          <w:bCs w:val="1"/>
          <w:color w:val="auto"/>
        </w:rPr>
        <w:t>Underwriters</w:t>
      </w:r>
      <w:r>
        <w:rPr>
          <w:rFonts w:ascii="Arial" w:cs="Arial" w:eastAsia="Arial" w:hAnsi="Arial"/>
          <w:sz w:val="19"/>
          <w:szCs w:val="19"/>
          <w:color w:val="auto"/>
        </w:rPr>
        <w:t>”) an aggregate of 1,785,715 shares (the “</w:t>
      </w:r>
      <w:r>
        <w:rPr>
          <w:rFonts w:ascii="Arial" w:cs="Arial" w:eastAsia="Arial" w:hAnsi="Arial"/>
          <w:sz w:val="19"/>
          <w:szCs w:val="19"/>
          <w:b w:val="1"/>
          <w:bCs w:val="1"/>
          <w:color w:val="auto"/>
        </w:rPr>
        <w:t>Shares</w:t>
      </w:r>
      <w:r>
        <w:rPr>
          <w:rFonts w:ascii="Arial" w:cs="Arial" w:eastAsia="Arial" w:hAnsi="Arial"/>
          <w:sz w:val="19"/>
          <w:szCs w:val="19"/>
          <w:color w:val="auto"/>
        </w:rPr>
        <w:t>”) of its Class A common stock, par value $0.0001 per share (the “</w:t>
      </w:r>
      <w:r>
        <w:rPr>
          <w:rFonts w:ascii="Arial" w:cs="Arial" w:eastAsia="Arial" w:hAnsi="Arial"/>
          <w:sz w:val="19"/>
          <w:szCs w:val="19"/>
          <w:b w:val="1"/>
          <w:bCs w:val="1"/>
          <w:color w:val="auto"/>
        </w:rPr>
        <w:t>Class A Stock</w:t>
      </w:r>
      <w:r>
        <w:rPr>
          <w:rFonts w:ascii="Arial" w:cs="Arial" w:eastAsia="Arial" w:hAnsi="Arial"/>
          <w:sz w:val="19"/>
          <w:szCs w:val="19"/>
          <w:color w:val="auto"/>
        </w:rPr>
        <w:t>”). The 1,785,715 Shares to be sold by the Company are called the “</w:t>
      </w:r>
      <w:r>
        <w:rPr>
          <w:rFonts w:ascii="Arial" w:cs="Arial" w:eastAsia="Arial" w:hAnsi="Arial"/>
          <w:sz w:val="19"/>
          <w:szCs w:val="19"/>
          <w:b w:val="1"/>
          <w:bCs w:val="1"/>
          <w:color w:val="auto"/>
        </w:rPr>
        <w:t>Firm</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In addition, the Company has granted to the Underwriters an option to purchase up to an additional 267,857 Shares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Section 2. The additional 267,857 Shares to be sold by the Company pursuant to such option are collectively called the “</w:t>
      </w:r>
      <w:r>
        <w:rPr>
          <w:rFonts w:ascii="Arial" w:cs="Arial" w:eastAsia="Arial" w:hAnsi="Arial"/>
          <w:sz w:val="19"/>
          <w:szCs w:val="19"/>
          <w:b w:val="1"/>
          <w:bCs w:val="1"/>
          <w:color w:val="auto"/>
        </w:rPr>
        <w:t>Optional Shares</w:t>
      </w:r>
      <w:r>
        <w:rPr>
          <w:rFonts w:ascii="Arial" w:cs="Arial" w:eastAsia="Arial" w:hAnsi="Arial"/>
          <w:sz w:val="19"/>
          <w:szCs w:val="19"/>
          <w:color w:val="auto"/>
        </w:rPr>
        <w:t>.” The Firm Shares and, if and to the extent such option is exercised, the Optional Shares are collectively called the “</w:t>
      </w:r>
      <w:r>
        <w:rPr>
          <w:rFonts w:ascii="Arial" w:cs="Arial" w:eastAsia="Arial" w:hAnsi="Arial"/>
          <w:sz w:val="19"/>
          <w:szCs w:val="19"/>
          <w:b w:val="1"/>
          <w:bCs w:val="1"/>
          <w:color w:val="auto"/>
        </w:rPr>
        <w:t>Offered Shares</w:t>
      </w:r>
      <w:r>
        <w:rPr>
          <w:rFonts w:ascii="Arial" w:cs="Arial" w:eastAsia="Arial" w:hAnsi="Arial"/>
          <w:sz w:val="19"/>
          <w:szCs w:val="19"/>
          <w:color w:val="auto"/>
        </w:rPr>
        <w:t>.” Stifel, Nicolaus &amp; Company, Incorporated (“</w:t>
      </w:r>
      <w:r>
        <w:rPr>
          <w:rFonts w:ascii="Arial" w:cs="Arial" w:eastAsia="Arial" w:hAnsi="Arial"/>
          <w:sz w:val="19"/>
          <w:szCs w:val="19"/>
          <w:b w:val="1"/>
          <w:bCs w:val="1"/>
          <w:color w:val="auto"/>
        </w:rPr>
        <w:t>Stifel</w:t>
      </w:r>
      <w:r>
        <w:rPr>
          <w:rFonts w:ascii="Arial" w:cs="Arial" w:eastAsia="Arial" w:hAnsi="Arial"/>
          <w:sz w:val="19"/>
          <w:szCs w:val="19"/>
          <w:color w:val="auto"/>
        </w:rPr>
        <w:t>”) has agreed to act as representative of the several Underwriters (in such capacity, the “</w:t>
      </w:r>
      <w:r>
        <w:rPr>
          <w:rFonts w:ascii="Arial" w:cs="Arial" w:eastAsia="Arial" w:hAnsi="Arial"/>
          <w:sz w:val="19"/>
          <w:szCs w:val="19"/>
          <w:b w:val="1"/>
          <w:bCs w:val="1"/>
          <w:color w:val="auto"/>
        </w:rPr>
        <w:t>Representative</w:t>
      </w:r>
      <w:r>
        <w:rPr>
          <w:rFonts w:ascii="Arial" w:cs="Arial" w:eastAsia="Arial" w:hAnsi="Arial"/>
          <w:sz w:val="19"/>
          <w:szCs w:val="19"/>
          <w:color w:val="auto"/>
        </w:rPr>
        <w:t>”) in connection with the offering and sale of the Offered Shares.</w:t>
      </w:r>
    </w:p>
    <w:p>
      <w:pPr>
        <w:spacing w:after="0" w:line="178" w:lineRule="exact"/>
        <w:rPr>
          <w:sz w:val="20"/>
          <w:szCs w:val="20"/>
          <w:color w:val="auto"/>
        </w:rPr>
      </w:pPr>
    </w:p>
    <w:p>
      <w:pPr>
        <w:ind w:right="60" w:firstLine="648"/>
        <w:spacing w:after="0" w:line="250" w:lineRule="exact"/>
        <w:rPr>
          <w:sz w:val="20"/>
          <w:szCs w:val="20"/>
          <w:color w:val="auto"/>
        </w:rPr>
      </w:pPr>
      <w:r>
        <w:rPr>
          <w:rFonts w:ascii="Arial" w:cs="Arial" w:eastAsia="Arial" w:hAnsi="Arial"/>
          <w:sz w:val="19"/>
          <w:szCs w:val="19"/>
          <w:color w:val="auto"/>
        </w:rPr>
        <w:t>The Company has prepared and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a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3, File No. 333-228734, under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of the Commission thereunder. Such registration statement, at any given time, including any amendments thereto at such time, the exhibits and any schedules thereto at such time, the documents incorporated by reference therein pursuant to Item 12 of Form S-3 under the Securities Act at such time and the documents and information otherwise deemed to be a part thereof or included therein by Rule 430B under the Securities Act (the “</w:t>
      </w:r>
      <w:r>
        <w:rPr>
          <w:rFonts w:ascii="Arial" w:cs="Arial" w:eastAsia="Arial" w:hAnsi="Arial"/>
          <w:sz w:val="19"/>
          <w:szCs w:val="19"/>
          <w:b w:val="1"/>
          <w:bCs w:val="1"/>
          <w:color w:val="auto"/>
        </w:rPr>
        <w:t>Rule 430B Information</w:t>
      </w:r>
      <w:r>
        <w:rPr>
          <w:rFonts w:ascii="Arial" w:cs="Arial" w:eastAsia="Arial" w:hAnsi="Arial"/>
          <w:sz w:val="19"/>
          <w:szCs w:val="19"/>
          <w:color w:val="auto"/>
        </w:rPr>
        <w:t>”) or otherwise pursuant to the rules and regulations of the Commission at such time, is herein called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The Registration Statement at the time it originally became effective is herein called the “</w:t>
      </w:r>
      <w:r>
        <w:rPr>
          <w:rFonts w:ascii="Arial" w:cs="Arial" w:eastAsia="Arial" w:hAnsi="Arial"/>
          <w:sz w:val="19"/>
          <w:szCs w:val="19"/>
          <w:b w:val="1"/>
          <w:bCs w:val="1"/>
          <w:color w:val="auto"/>
        </w:rPr>
        <w:t>Initial Registration Statement</w:t>
      </w:r>
      <w:r>
        <w:rPr>
          <w:rFonts w:ascii="Arial" w:cs="Arial" w:eastAsia="Arial" w:hAnsi="Arial"/>
          <w:sz w:val="19"/>
          <w:szCs w:val="19"/>
          <w:color w:val="auto"/>
        </w:rPr>
        <w:t>.” Any registration statement filed by the Company pursuant to Rule 462(b) under the Securities Act is called the “</w:t>
      </w:r>
      <w:r>
        <w:rPr>
          <w:rFonts w:ascii="Arial" w:cs="Arial" w:eastAsia="Arial" w:hAnsi="Arial"/>
          <w:sz w:val="19"/>
          <w:szCs w:val="19"/>
          <w:b w:val="1"/>
          <w:bCs w:val="1"/>
          <w:color w:val="auto"/>
        </w:rPr>
        <w:t>Rule 462(b) Registration Statement</w:t>
      </w:r>
      <w:r>
        <w:rPr>
          <w:rFonts w:ascii="Arial" w:cs="Arial" w:eastAsia="Arial" w:hAnsi="Arial"/>
          <w:sz w:val="19"/>
          <w:szCs w:val="19"/>
          <w:color w:val="auto"/>
        </w:rPr>
        <w:t>,” and, from and after the date and time of filing of the Rule 462(b) Registration Statement, the term “</w:t>
      </w:r>
      <w:r>
        <w:rPr>
          <w:rFonts w:ascii="Arial" w:cs="Arial" w:eastAsia="Arial" w:hAnsi="Arial"/>
          <w:sz w:val="19"/>
          <w:szCs w:val="19"/>
          <w:b w:val="1"/>
          <w:bCs w:val="1"/>
          <w:color w:val="auto"/>
        </w:rPr>
        <w:t>Registration Statement</w:t>
      </w:r>
      <w:r>
        <w:rPr>
          <w:rFonts w:ascii="Arial" w:cs="Arial" w:eastAsia="Arial" w:hAnsi="Arial"/>
          <w:sz w:val="19"/>
          <w:szCs w:val="19"/>
          <w:color w:val="auto"/>
        </w:rPr>
        <w:t>” shall include any Rule 462(b) Registration Statement.</w:t>
      </w:r>
    </w:p>
    <w:p>
      <w:pPr>
        <w:spacing w:after="0" w:line="200" w:lineRule="exact"/>
        <w:rPr>
          <w:sz w:val="20"/>
          <w:szCs w:val="20"/>
          <w:color w:val="auto"/>
        </w:rPr>
      </w:pPr>
    </w:p>
    <w:p>
      <w:pPr>
        <w:spacing w:after="0" w:line="229" w:lineRule="exact"/>
        <w:rPr>
          <w:sz w:val="20"/>
          <w:szCs w:val="20"/>
          <w:color w:val="auto"/>
        </w:rPr>
      </w:pPr>
    </w:p>
    <w:p>
      <w:pPr>
        <w:ind w:right="40" w:firstLine="648"/>
        <w:spacing w:after="0" w:line="247" w:lineRule="auto"/>
        <w:rPr>
          <w:sz w:val="20"/>
          <w:szCs w:val="20"/>
          <w:color w:val="auto"/>
        </w:rPr>
      </w:pPr>
      <w:r>
        <w:rPr>
          <w:rFonts w:ascii="Arial" w:cs="Arial" w:eastAsia="Arial" w:hAnsi="Arial"/>
          <w:sz w:val="21"/>
          <w:szCs w:val="21"/>
          <w:color w:val="auto"/>
        </w:rPr>
        <w:t>At the time of the filing of the Initial Registration Statement with the Commission and as of the date hereof, the conditions for use of Form S-3, set forth in the General Instructions thereto, including General Instruction I.B.1., were and have been satisfied. The Initial Registration Statement was declared effective by the Commission under the Securities Act on February 12, 2019. The Company has complied, to the Commission’s satisfaction, with all requests of the Commission for additional or supplemental information. No other document with respect to the Initial Registration Statement has heretofore been filed with the Commission other than such documents as have been subsequently incorporated by reference therein pursuant to Item 12 of Form S-3 under the Securities Act and any Rule 430B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19"/>
          <w:szCs w:val="19"/>
          <w:color w:val="auto"/>
        </w:rPr>
        <w:t>The prospectus in the form in which it appeared in the Initial Registration Statement is herein called the “</w:t>
      </w:r>
      <w:r>
        <w:rPr>
          <w:rFonts w:ascii="Arial" w:cs="Arial" w:eastAsia="Arial" w:hAnsi="Arial"/>
          <w:sz w:val="19"/>
          <w:szCs w:val="19"/>
          <w:b w:val="1"/>
          <w:bCs w:val="1"/>
          <w:color w:val="auto"/>
        </w:rPr>
        <w:t>Base Prospectus</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Each preliminary prospectus supplement to the Base Prospectus (including the Base Prospectus as so supplemented) that described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Offered Shares and the offering thereof, that omitted the Rule 430B Information and that was used prior to the filing of the final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prospectus supplement referred to in the following sentence is herein called a “</w:t>
      </w:r>
      <w:r>
        <w:rPr>
          <w:rFonts w:ascii="Arial" w:cs="Arial" w:eastAsia="Arial" w:hAnsi="Arial"/>
          <w:sz w:val="19"/>
          <w:szCs w:val="19"/>
          <w:b w:val="1"/>
          <w:bCs w:val="1"/>
          <w:color w:val="auto"/>
        </w:rPr>
        <w:t>Preliminary Prospectus</w:t>
      </w:r>
      <w:r>
        <w:rPr>
          <w:rFonts w:ascii="Arial" w:cs="Arial" w:eastAsia="Arial" w:hAnsi="Arial"/>
          <w:sz w:val="19"/>
          <w:szCs w:val="19"/>
          <w:color w:val="auto"/>
        </w:rPr>
        <w:t>.” Promptly after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execution and delivery of this Agreement, the Company will prepare and file with the Commission a final prospectus supplement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Base Prospectus relating to the Offered Shares and the offering thereof in accordance with the provisions of Rule 430B and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Rule 424(b) under the Securities Act. Such final supplemental form of prospectus (including the Base Prospectus as so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supplemented), in the form filed with the Commission pursuant to Rule 424(b) under the Securities Act is herein called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Any reference herein to the Base Prospectus, any Preliminary Prospectus or the Prospectus shall be deemed to refer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and include the documents incorporated by reference therein pursuant to Item 12 of Form S-3 under the Securities Act as of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date of such prospectus.</w:t>
      </w:r>
    </w:p>
    <w:p>
      <w:pPr>
        <w:spacing w:after="0" w:line="20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Applicable Time</w:t>
      </w:r>
      <w:r>
        <w:rPr>
          <w:rFonts w:ascii="Arial" w:cs="Arial" w:eastAsia="Arial" w:hAnsi="Arial"/>
          <w:sz w:val="19"/>
          <w:szCs w:val="19"/>
          <w:color w:val="auto"/>
        </w:rPr>
        <w:t>” is 7:00 p.m. (New York City time) on August 14, 2019. As used herein, “</w:t>
      </w:r>
      <w:r>
        <w:rPr>
          <w:rFonts w:ascii="Arial" w:cs="Arial" w:eastAsia="Arial" w:hAnsi="Arial"/>
          <w:sz w:val="19"/>
          <w:szCs w:val="19"/>
          <w:b w:val="1"/>
          <w:bCs w:val="1"/>
          <w:color w:val="auto"/>
        </w:rPr>
        <w:t>free writing</w:t>
      </w:r>
      <w:r>
        <w:rPr>
          <w:rFonts w:ascii="Arial" w:cs="Arial" w:eastAsia="Arial" w:hAnsi="Arial"/>
          <w:sz w:val="19"/>
          <w:szCs w:val="19"/>
          <w:color w:val="auto"/>
        </w:rPr>
        <w:t xml:space="preserve"> </w:t>
      </w:r>
      <w:r>
        <w:rPr>
          <w:rFonts w:ascii="Arial" w:cs="Arial" w:eastAsia="Arial" w:hAnsi="Arial"/>
          <w:sz w:val="19"/>
          <w:szCs w:val="19"/>
          <w:b w:val="1"/>
          <w:bCs w:val="1"/>
          <w:color w:val="auto"/>
        </w:rPr>
        <w:t>prospectus</w:t>
      </w:r>
      <w:r>
        <w:rPr>
          <w:rFonts w:ascii="Arial" w:cs="Arial" w:eastAsia="Arial" w:hAnsi="Arial"/>
          <w:sz w:val="19"/>
          <w:szCs w:val="19"/>
          <w:color w:val="auto"/>
        </w:rPr>
        <w:t>” has the meaning set forth in Rule 405 under the Securities Act, and “</w:t>
      </w:r>
      <w:r>
        <w:rPr>
          <w:rFonts w:ascii="Arial" w:cs="Arial" w:eastAsia="Arial" w:hAnsi="Arial"/>
          <w:sz w:val="19"/>
          <w:szCs w:val="19"/>
          <w:b w:val="1"/>
          <w:bCs w:val="1"/>
          <w:color w:val="auto"/>
        </w:rPr>
        <w:t>Time of Sale Prospectus</w:t>
      </w:r>
      <w:r>
        <w:rPr>
          <w:rFonts w:ascii="Arial" w:cs="Arial" w:eastAsia="Arial" w:hAnsi="Arial"/>
          <w:sz w:val="19"/>
          <w:szCs w:val="19"/>
          <w:color w:val="auto"/>
        </w:rPr>
        <w:t>” means the Preliminary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Prospectus together with the free writing prospectuses, if any, identified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hereto, and the information identified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hereto. As used herein, </w:t>
      </w:r>
      <w:r>
        <w:rPr>
          <w:rFonts w:ascii="Arial" w:cs="Arial" w:eastAsia="Arial" w:hAnsi="Arial"/>
          <w:sz w:val="19"/>
          <w:szCs w:val="19"/>
          <w:b w:val="1"/>
          <w:bCs w:val="1"/>
          <w:color w:val="auto"/>
        </w:rPr>
        <w:t>“Road Show”</w:t>
      </w:r>
      <w:r>
        <w:rPr>
          <w:rFonts w:ascii="Arial" w:cs="Arial" w:eastAsia="Arial" w:hAnsi="Arial"/>
          <w:sz w:val="19"/>
          <w:szCs w:val="19"/>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9"/>
          <w:szCs w:val="19"/>
          <w:b w:val="1"/>
          <w:bCs w:val="1"/>
          <w:color w:val="auto"/>
        </w:rPr>
        <w:t>Section 5(d) Written Communication</w:t>
      </w:r>
      <w:r>
        <w:rPr>
          <w:rFonts w:ascii="Arial" w:cs="Arial" w:eastAsia="Arial" w:hAnsi="Arial"/>
          <w:sz w:val="19"/>
          <w:szCs w:val="19"/>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9"/>
          <w:szCs w:val="19"/>
          <w:b w:val="1"/>
          <w:bCs w:val="1"/>
          <w:color w:val="auto"/>
        </w:rPr>
        <w:t>QIBs</w:t>
      </w:r>
      <w:r>
        <w:rPr>
          <w:rFonts w:ascii="Arial" w:cs="Arial" w:eastAsia="Arial" w:hAnsi="Arial"/>
          <w:sz w:val="19"/>
          <w:szCs w:val="19"/>
          <w:color w:val="auto"/>
        </w:rPr>
        <w:t>”) and/or institutions that are accredited investors (“</w:t>
      </w:r>
      <w:r>
        <w:rPr>
          <w:rFonts w:ascii="Arial" w:cs="Arial" w:eastAsia="Arial" w:hAnsi="Arial"/>
          <w:sz w:val="19"/>
          <w:szCs w:val="19"/>
          <w:b w:val="1"/>
          <w:bCs w:val="1"/>
          <w:color w:val="auto"/>
        </w:rPr>
        <w:t>IAIs</w:t>
      </w:r>
      <w:r>
        <w:rPr>
          <w:rFonts w:ascii="Arial" w:cs="Arial" w:eastAsia="Arial" w:hAnsi="Arial"/>
          <w:sz w:val="19"/>
          <w:szCs w:val="19"/>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9"/>
          <w:szCs w:val="19"/>
          <w:b w:val="1"/>
          <w:b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color w:val="auto"/>
        </w:rPr>
        <w:t>5(d) Oral Communication</w:t>
      </w:r>
      <w:r>
        <w:rPr>
          <w:rFonts w:ascii="Arial" w:cs="Arial" w:eastAsia="Arial" w:hAnsi="Arial"/>
          <w:sz w:val="19"/>
          <w:szCs w:val="19"/>
          <w:color w:val="auto"/>
        </w:rPr>
        <w:t>” means each oral communication, if any, made in reliance on Section 5(d) of the Securities Act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person authorized to act on behalf of the Company made to one or more QIBs and/or one or more IAIs to determine whether such investors might have an interest in the offering of the Offered Shares; “</w:t>
      </w:r>
      <w:r>
        <w:rPr>
          <w:rFonts w:ascii="Arial" w:cs="Arial" w:eastAsia="Arial" w:hAnsi="Arial"/>
          <w:sz w:val="19"/>
          <w:szCs w:val="19"/>
          <w:b w:val="1"/>
          <w:bCs w:val="1"/>
          <w:color w:val="auto"/>
        </w:rPr>
        <w:t>Marketing Materials</w:t>
      </w:r>
      <w:r>
        <w:rPr>
          <w:rFonts w:ascii="Arial" w:cs="Arial" w:eastAsia="Arial" w:hAnsi="Arial"/>
          <w:sz w:val="19"/>
          <w:szCs w:val="19"/>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9"/>
          <w:szCs w:val="19"/>
          <w:b w:val="1"/>
          <w:bCs w:val="1"/>
          <w:color w:val="auto"/>
        </w:rPr>
        <w:t>Permitted Section 5(d) Communication</w:t>
      </w:r>
      <w:r>
        <w:rPr>
          <w:rFonts w:ascii="Arial" w:cs="Arial" w:eastAsia="Arial" w:hAnsi="Arial"/>
          <w:sz w:val="19"/>
          <w:szCs w:val="19"/>
          <w:color w:val="auto"/>
        </w:rPr>
        <w:t>” means the Section 5(d) Written Communication(s) and Marketing Materials listed on Schedule C attached hereto.</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For purposes of this Agreement, all references to the Registration Statement, any Rule 462(b) Registration Statement, the Base Prospectus, any Preliminary Prospectus, the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 All references in this Agreement to financial statements and schedules and other information that is “described,” “contained,” “included” or “stated” in the Registration Statement, the Base Prospectus, any Preliminary Prospectus or the Prospectus (or other references of like import) shall be deemed to mean and include all such financial statements and schedules and other information that is incorporated by reference in or otherwise deemed by the rules and regulations of the Commission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which is deemed to be incorporated by reference therein or otherwise deemed by the rules and regulations of the Commission to be a part thereof.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 w:name="page6"/>
    <w:bookmarkEnd w:id="5"/>
    <w:p>
      <w:pPr>
        <w:ind w:right="140" w:firstLine="648"/>
        <w:spacing w:after="0" w:line="251" w:lineRule="auto"/>
        <w:rPr>
          <w:sz w:val="20"/>
          <w:szCs w:val="20"/>
          <w:color w:val="auto"/>
        </w:rPr>
      </w:pPr>
      <w:r>
        <w:rPr>
          <w:rFonts w:ascii="Arial" w:cs="Arial" w:eastAsia="Arial" w:hAnsi="Arial"/>
          <w:sz w:val="22"/>
          <w:szCs w:val="22"/>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22"/>
          <w:szCs w:val="22"/>
          <w:u w:val="single" w:color="auto"/>
          <w:color w:val="auto"/>
        </w:rPr>
        <w:t>mutatis mutandis</w:t>
      </w:r>
      <w:r>
        <w:rPr>
          <w:rFonts w:ascii="Arial" w:cs="Arial" w:eastAsia="Arial" w:hAnsi="Arial"/>
          <w:sz w:val="22"/>
          <w:szCs w:val="22"/>
          <w:color w:val="auto"/>
        </w:rPr>
        <w: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hereby confirms its agreements with the Underwriters as follows:</w:t>
      </w:r>
    </w:p>
    <w:p>
      <w:pPr>
        <w:spacing w:after="0" w:line="227" w:lineRule="exact"/>
        <w:rPr>
          <w:sz w:val="20"/>
          <w:szCs w:val="20"/>
          <w:color w:val="auto"/>
        </w:rPr>
      </w:pPr>
    </w:p>
    <w:p>
      <w:pPr>
        <w:ind w:right="80" w:firstLine="648"/>
        <w:spacing w:after="0" w:line="243" w:lineRule="auto"/>
        <w:rPr>
          <w:sz w:val="20"/>
          <w:szCs w:val="20"/>
          <w:color w:val="auto"/>
        </w:rPr>
      </w:pPr>
      <w:r>
        <w:rPr>
          <w:rFonts w:ascii="Arial" w:cs="Arial" w:eastAsia="Arial" w:hAnsi="Arial"/>
          <w:sz w:val="22"/>
          <w:szCs w:val="22"/>
          <w:b w:val="1"/>
          <w:bCs w:val="1"/>
          <w:color w:val="auto"/>
        </w:rPr>
        <w:t xml:space="preserve">Section 1. Representations and Warranties of the Company. </w:t>
      </w:r>
      <w:r>
        <w:rPr>
          <w:rFonts w:ascii="Arial" w:cs="Arial" w:eastAsia="Arial" w:hAnsi="Arial"/>
          <w:sz w:val="22"/>
          <w:szCs w:val="22"/>
          <w:color w:val="auto"/>
        </w:rPr>
        <w:t>The Company hereby represents, warrants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to each Underwriter, as of the date of this Agreement, as of the First Closing Date (as hereinafter defined) and as of each Option Closing Date (as hereinafter defined), if any, as follows:</w:t>
      </w:r>
    </w:p>
    <w:p>
      <w:pPr>
        <w:spacing w:after="0" w:line="204" w:lineRule="exact"/>
        <w:rPr>
          <w:sz w:val="20"/>
          <w:szCs w:val="20"/>
          <w:color w:val="auto"/>
        </w:rPr>
      </w:pPr>
    </w:p>
    <w:p>
      <w:pPr>
        <w:ind w:right="60" w:firstLine="1305"/>
        <w:spacing w:after="0" w:line="271" w:lineRule="auto"/>
        <w:tabs>
          <w:tab w:leader="none" w:pos="2076"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No Material Misstatements or Omissions</w:t>
      </w:r>
      <w:r>
        <w:rPr>
          <w:rFonts w:ascii="Arial" w:cs="Arial" w:eastAsia="Arial" w:hAnsi="Arial"/>
          <w:sz w:val="19"/>
          <w:szCs w:val="19"/>
          <w:color w:val="auto"/>
        </w:rPr>
        <w:t>. At the Applicable Time, at the date hereof, at the First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Date, and at each Option Closing Date, if any, the Registration Statement and any post-effective amendment thereto complied or will comply in all material respects with the requirements of the Securities Act and did not, does not, and will not, as the case may be, contain any untrue statement of a material fact or omit to state a material fact required to be stated therein or necessary to make the statements therein not misleading. The Time of Sale Prospectus as of the Applicable Time on the First Closing Date and on each Option Closing Date, if any, and the Prospectus, as amended or supplemented, as of its date, at the time of filing pursuant to Rule 424(b) under the Securities Act at the Final Closing Date, and at each Option Closing Date, if any, and any individual Section 5(d) Written Communication, when considered together with the Time of Sale Prospectus, did not and will not contain any untrue statement of a material fact or omit to state a material fact required to be stated therein or necessary to make the statements therein, in the light of the circumstances under which they were made, not misleading. The representations and warranties set forth in the two immediately preceding sentences shall not apply to statements in or omissions from the Registration Statement, the Time of Sale Prospectus, or any Prospectus in reliance upon, and in conformity with, written information furnished to the Company by the Representative on behalf of any Underwriter specifically for use in the preparation thereof, which written information is described below. The Registration Statement contains all exhibits and schedules required to be filed by the Securities Act. No order preventing or suspending the effectiveness or use of the Registration Statement or any Prospectus is in effect and no proceedings for such purpose have been instituted or are pending, or, to the knowledge of the Company, are contemplated or threatened by the Commission.</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right="340" w:firstLine="1305"/>
        <w:spacing w:after="0" w:line="335" w:lineRule="auto"/>
        <w:tabs>
          <w:tab w:leader="none" w:pos="2089"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Marketing Materials</w:t>
      </w:r>
      <w:r>
        <w:rPr>
          <w:rFonts w:ascii="Arial" w:cs="Arial" w:eastAsia="Arial" w:hAnsi="Arial"/>
          <w:sz w:val="19"/>
          <w:szCs w:val="19"/>
          <w:color w:val="auto"/>
        </w:rPr>
        <w:t>. The Company has not distributed any prospectus or other offering material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offering and sale of the Offered Shares other than the Time of Sale Prospectus and the Marketing Materials.</w:t>
      </w:r>
    </w:p>
    <w:p>
      <w:pPr>
        <w:spacing w:after="0" w:line="119" w:lineRule="exact"/>
        <w:rPr>
          <w:rFonts w:ascii="Arial" w:cs="Arial" w:eastAsia="Arial" w:hAnsi="Arial"/>
          <w:sz w:val="19"/>
          <w:szCs w:val="19"/>
          <w:color w:val="auto"/>
        </w:rPr>
      </w:pPr>
    </w:p>
    <w:p>
      <w:pPr>
        <w:ind w:right="40" w:firstLine="1305"/>
        <w:spacing w:after="0" w:line="256" w:lineRule="auto"/>
        <w:tabs>
          <w:tab w:leader="none" w:pos="2076"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Emerging Growth Company</w:t>
      </w:r>
      <w:r>
        <w:rPr>
          <w:rFonts w:ascii="Arial" w:cs="Arial" w:eastAsia="Arial" w:hAnsi="Arial"/>
          <w:sz w:val="22"/>
          <w:szCs w:val="22"/>
          <w:color w:val="auto"/>
        </w:rPr>
        <w:t>. The Company is an “emerging growth company,” as defined in Section 2(a)</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Securities Act (an “</w:t>
      </w:r>
      <w:r>
        <w:rPr>
          <w:rFonts w:ascii="Arial" w:cs="Arial" w:eastAsia="Arial" w:hAnsi="Arial"/>
          <w:sz w:val="22"/>
          <w:szCs w:val="22"/>
          <w:b w:val="1"/>
          <w:bCs w:val="1"/>
          <w:color w:val="auto"/>
        </w:rPr>
        <w:t>Emerging Growth Company</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firstLine="1305"/>
        <w:spacing w:after="0" w:line="246" w:lineRule="auto"/>
        <w:tabs>
          <w:tab w:leader="none" w:pos="2089"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Testing-the-Waters Communications. </w:t>
      </w:r>
      <w:r>
        <w:rPr>
          <w:rFonts w:ascii="Arial" w:cs="Arial" w:eastAsia="Arial" w:hAnsi="Arial"/>
          <w:sz w:val="21"/>
          <w:szCs w:val="21"/>
          <w:color w:val="auto"/>
        </w:rPr>
        <w:t>The Company (A) has not alone engaged in any Testing-the-Waters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Communication, other than Testing-the-Waters Communications with the written consent of the Representative and (B) has not authorized anyone other than the Underwriters to engage in Testing-the-Waters Communications. The Company has not distributed any Section 5(d) Written Communications, other than those previously provided the Representative on </w:t>
      </w:r>
      <w:r>
        <w:rPr>
          <w:rFonts w:ascii="Arial" w:cs="Arial" w:eastAsia="Arial" w:hAnsi="Arial"/>
          <w:sz w:val="21"/>
          <w:szCs w:val="21"/>
          <w:u w:val="single" w:color="auto"/>
          <w:color w:val="auto"/>
        </w:rPr>
        <w:t>Schedule C</w:t>
      </w:r>
      <w:r>
        <w:rPr>
          <w:rFonts w:ascii="Arial" w:cs="Arial" w:eastAsia="Arial" w:hAnsi="Arial"/>
          <w:sz w:val="21"/>
          <w:szCs w:val="21"/>
          <w:color w:val="auto"/>
        </w:rPr>
        <w:t>. “</w:t>
      </w:r>
      <w:r>
        <w:rPr>
          <w:rFonts w:ascii="Arial" w:cs="Arial" w:eastAsia="Arial" w:hAnsi="Arial"/>
          <w:sz w:val="21"/>
          <w:szCs w:val="21"/>
          <w:b w:val="1"/>
          <w:bCs w:val="1"/>
          <w:color w:val="auto"/>
        </w:rPr>
        <w:t>Testing-the-Waters Communication</w:t>
      </w:r>
      <w:r>
        <w:rPr>
          <w:rFonts w:ascii="Arial" w:cs="Arial" w:eastAsia="Arial" w:hAnsi="Arial"/>
          <w:sz w:val="21"/>
          <w:szCs w:val="21"/>
          <w:color w:val="auto"/>
        </w:rPr>
        <w:t>” means any oral or written communication with potential investors undertaken in reliance on Section 5(d)</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Securities Act. Each Section 5(d) Written Communication and Section 5(d) Oral Communication, did not, as of the Applicable Time, and at all times through the completion of the public offer and sale of Offered Shares will not, include any information that conflicted, conflicts or will conflict with the information contained in the Registration Statement, the Time of Sale Prospectus and the Prospectus.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firstLine="1305"/>
        <w:spacing w:after="0" w:line="272" w:lineRule="auto"/>
        <w:tabs>
          <w:tab w:leader="none" w:pos="2076"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Accurate Disclosure</w:t>
      </w:r>
      <w:r>
        <w:rPr>
          <w:rFonts w:ascii="Arial" w:cs="Arial" w:eastAsia="Arial" w:hAnsi="Arial"/>
          <w:sz w:val="19"/>
          <w:szCs w:val="19"/>
          <w:color w:val="auto"/>
        </w:rPr>
        <w:t>. (A) The Company has provided a copy to the Underwriters of each free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prospectus used in the sale of Offered Shares. The Company has filed all free writing prospectus required to be so filed with the Commission, and no order preventing or suspending the effectiveness or use of any free writing prospectus is in effect and no proceedings for such purpose have been instituted or are pending, or, to the knowledge of the Company, are contemplated or threatened by the Commission. When taken together with the rest of the Time of Sale Prospectus or the Prospectus, no free writing prospectus, as of its issue date and at all subsequent times though the completion of the public offer and sale of Offered Shares, has, does or will include (1) any untrue statement of a material fact or omission to state any material fact necessary in order to make the statements therein, in the light of the circumstances under which they were made, not misleading, or (2) information that conflicted, conflicts or will conflict with the information contained in the Registration Statement or the Prospectus. The representations and warranties set forth in the immediately preceding sentence shall not apply to statements in or omissions from the Time of Sale Prospectus, the Prospectus or any free writing prospectus in reliance upon, and in conformity with, written information furnished to the Company by the Representative on behalf of any Underwriter specifically for use in the preparation thereof, which written information is described below.</w:t>
      </w:r>
    </w:p>
    <w:p>
      <w:pPr>
        <w:spacing w:after="0" w:line="184" w:lineRule="exact"/>
        <w:rPr>
          <w:rFonts w:ascii="Arial" w:cs="Arial" w:eastAsia="Arial" w:hAnsi="Arial"/>
          <w:sz w:val="19"/>
          <w:szCs w:val="19"/>
          <w:color w:val="auto"/>
        </w:rPr>
      </w:pPr>
    </w:p>
    <w:p>
      <w:pPr>
        <w:ind w:right="100" w:firstLine="1305"/>
        <w:spacing w:after="0" w:line="284" w:lineRule="auto"/>
        <w:tabs>
          <w:tab w:leader="none" w:pos="2053"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Ineligible Issuer</w:t>
      </w:r>
      <w:r>
        <w:rPr>
          <w:rFonts w:ascii="Arial" w:cs="Arial" w:eastAsia="Arial" w:hAnsi="Arial"/>
          <w:sz w:val="19"/>
          <w:szCs w:val="19"/>
          <w:color w:val="auto"/>
        </w:rPr>
        <w:t>. At the time of filing of the Registration Statement and at the date hereof,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was not and is not an “ineligible issuer,” as defined in Rule 405 under the Securities Act or an “excluded issuer” as defined in Rule 164 under the Securities Act. Each free writing prospectus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satisfied, as of its issue date and at all subsequent times through the Prospectus delivery period, all other conditions as may be applicable to its use as set forth in Rules 164 and 433 under the Securities Act, including any legend, record-keeping or other requirements.</w:t>
      </w:r>
    </w:p>
    <w:p>
      <w:pPr>
        <w:spacing w:after="0" w:line="165" w:lineRule="exact"/>
        <w:rPr>
          <w:rFonts w:ascii="Arial" w:cs="Arial" w:eastAsia="Arial" w:hAnsi="Arial"/>
          <w:sz w:val="19"/>
          <w:szCs w:val="19"/>
          <w:color w:val="auto"/>
        </w:rPr>
      </w:pPr>
    </w:p>
    <w:p>
      <w:pPr>
        <w:ind w:right="20" w:firstLine="1305"/>
        <w:spacing w:after="0" w:line="272" w:lineRule="auto"/>
        <w:tabs>
          <w:tab w:leader="none" w:pos="2089"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Financial Statements</w:t>
      </w:r>
      <w:r>
        <w:rPr>
          <w:rFonts w:ascii="Arial" w:cs="Arial" w:eastAsia="Arial" w:hAnsi="Arial"/>
          <w:sz w:val="19"/>
          <w:szCs w:val="19"/>
          <w:color w:val="auto"/>
        </w:rPr>
        <w:t>. The financial statements of the Company, together with the related notes, included</w:t>
      </w:r>
      <w:r>
        <w:rPr>
          <w:rFonts w:ascii="Arial" w:cs="Arial" w:eastAsia="Arial" w:hAnsi="Arial"/>
          <w:sz w:val="19"/>
          <w:szCs w:val="19"/>
          <w:b w:val="1"/>
          <w:bCs w:val="1"/>
          <w:color w:val="auto"/>
        </w:rPr>
        <w:t xml:space="preserve"> </w:t>
      </w:r>
      <w:r>
        <w:rPr>
          <w:rFonts w:ascii="Arial" w:cs="Arial" w:eastAsia="Arial" w:hAnsi="Arial"/>
          <w:sz w:val="19"/>
          <w:szCs w:val="19"/>
          <w:color w:val="auto"/>
        </w:rPr>
        <w:t>or incorporated by reference in the Registration Statement, the Time of Sale Prospectus and the Prospectus comply in all material respects with the applicable requirements of the Securities Act and the Exchange Act, and the rules and regulations of the Commission thereunder, and fairly present in all material respects the financial condition of the Company as of the dates indicated and the results of operations and changes in cash flows for the periods therein specified in conformity with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consistently applied throughout the periods involved.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All disclosures contained in the Registration Statement, the Time of Sale Prospectus and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No other financial statements, pro forma financial information or schedules are required under the Securities Act or the Exchange Act to be included in the Registration Statement, the Time of Sale Prospectus or the Prospectus.</w:t>
      </w:r>
    </w:p>
    <w:p>
      <w:pPr>
        <w:spacing w:after="0" w:line="184" w:lineRule="exact"/>
        <w:rPr>
          <w:rFonts w:ascii="Arial" w:cs="Arial" w:eastAsia="Arial" w:hAnsi="Arial"/>
          <w:sz w:val="19"/>
          <w:szCs w:val="19"/>
          <w:color w:val="auto"/>
        </w:rPr>
      </w:pPr>
    </w:p>
    <w:p>
      <w:pPr>
        <w:ind w:right="60" w:firstLine="1305"/>
        <w:spacing w:after="0" w:line="236" w:lineRule="auto"/>
        <w:tabs>
          <w:tab w:leader="none" w:pos="2089"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Independent Accountants. </w:t>
      </w:r>
      <w:r>
        <w:rPr>
          <w:rFonts w:ascii="Arial" w:cs="Arial" w:eastAsia="Arial" w:hAnsi="Arial"/>
          <w:sz w:val="22"/>
          <w:szCs w:val="22"/>
          <w:color w:val="auto"/>
        </w:rPr>
        <w:t>To the Company’s knowledge, BDO China Shu Lun Pan Certified Public</w:t>
      </w:r>
      <w:r>
        <w:rPr>
          <w:rFonts w:ascii="Arial" w:cs="Arial" w:eastAsia="Arial" w:hAnsi="Arial"/>
          <w:sz w:val="22"/>
          <w:szCs w:val="22"/>
          <w:b w:val="1"/>
          <w:bCs w:val="1"/>
          <w:color w:val="auto"/>
        </w:rPr>
        <w:t xml:space="preserve"> </w:t>
      </w:r>
      <w:r>
        <w:rPr>
          <w:rFonts w:ascii="Arial" w:cs="Arial" w:eastAsia="Arial" w:hAnsi="Arial"/>
          <w:sz w:val="22"/>
          <w:szCs w:val="22"/>
          <w:color w:val="auto"/>
        </w:rPr>
        <w:t>Accountants LLP, which has expressed its opinion with respect to the financial statements included or incorporated by reference in the Registration Statement, the Time of Sale Prospectus and the Prospectus, is (A) an independent public accounting firm with respect to the Company within the meaning of the Securities Act and the rules of the Public Company Accounting Oversight Board (“</w:t>
      </w:r>
      <w:r>
        <w:rPr>
          <w:rFonts w:ascii="Arial" w:cs="Arial" w:eastAsia="Arial" w:hAnsi="Arial"/>
          <w:sz w:val="22"/>
          <w:szCs w:val="22"/>
          <w:b w:val="1"/>
          <w:bCs w:val="1"/>
          <w:color w:val="auto"/>
        </w:rPr>
        <w:t>PCAOB</w:t>
      </w:r>
      <w:r>
        <w:rPr>
          <w:rFonts w:ascii="Arial" w:cs="Arial" w:eastAsia="Arial" w:hAnsi="Arial"/>
          <w:sz w:val="22"/>
          <w:szCs w:val="22"/>
          <w:color w:val="auto"/>
        </w:rPr>
        <w:t>”) and (B) in compliance with the applicable requirements relating to the qualification of accountants under Rule 2-01 of Regulation S-X under the Securities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left="-40" w:right="20" w:firstLine="1305"/>
        <w:spacing w:after="0" w:line="272" w:lineRule="auto"/>
        <w:tabs>
          <w:tab w:leader="none" w:pos="2001"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Accounting Controls. </w:t>
      </w:r>
      <w:r>
        <w:rPr>
          <w:rFonts w:ascii="Arial" w:cs="Arial" w:eastAsia="Arial" w:hAnsi="Arial"/>
          <w:sz w:val="19"/>
          <w:szCs w:val="19"/>
          <w:color w:val="auto"/>
        </w:rPr>
        <w:t>The Company and its subsidiaries maintain systems of “internal control over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reporting” (as defined under Rules 13a-15 and 15d-15 under the Exchange Act) that are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Since the date of the latest audited financial statements included or incorporated by reference in the Registration Statement, the Time of Sale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84" w:lineRule="exact"/>
        <w:rPr>
          <w:rFonts w:ascii="Arial" w:cs="Arial" w:eastAsia="Arial" w:hAnsi="Arial"/>
          <w:sz w:val="19"/>
          <w:szCs w:val="19"/>
          <w:color w:val="auto"/>
        </w:rPr>
      </w:pPr>
    </w:p>
    <w:p>
      <w:pPr>
        <w:ind w:left="-40" w:right="400" w:firstLine="1305"/>
        <w:spacing w:after="0" w:line="301" w:lineRule="auto"/>
        <w:tabs>
          <w:tab w:leader="none" w:pos="2001"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Forward-Looking Statements</w:t>
      </w:r>
      <w:r>
        <w:rPr>
          <w:rFonts w:ascii="Arial" w:cs="Arial" w:eastAsia="Arial" w:hAnsi="Arial"/>
          <w:sz w:val="19"/>
          <w:szCs w:val="19"/>
          <w:color w:val="auto"/>
        </w:rPr>
        <w:t>. The Company had a reasonable basis for, and made in good faith, each</w:t>
      </w:r>
      <w:r>
        <w:rPr>
          <w:rFonts w:ascii="Arial" w:cs="Arial" w:eastAsia="Arial" w:hAnsi="Arial"/>
          <w:sz w:val="19"/>
          <w:szCs w:val="19"/>
          <w:b w:val="1"/>
          <w:bCs w:val="1"/>
          <w:color w:val="auto"/>
        </w:rPr>
        <w:t xml:space="preserve"> </w:t>
      </w:r>
      <w:r>
        <w:rPr>
          <w:rFonts w:ascii="Arial" w:cs="Arial" w:eastAsia="Arial" w:hAnsi="Arial"/>
          <w:sz w:val="19"/>
          <w:szCs w:val="19"/>
          <w:color w:val="auto"/>
        </w:rPr>
        <w:t>“forward-looking statement” (within the meaning of Section 27A of the Securities Act or Section 21E of the Exchange Act) contained in the Registration Statement, the Time of Sale Prospectus, the Prospectus or the Marketing Materials.</w:t>
      </w:r>
    </w:p>
    <w:p>
      <w:pPr>
        <w:spacing w:after="0" w:line="150" w:lineRule="exact"/>
        <w:rPr>
          <w:rFonts w:ascii="Arial" w:cs="Arial" w:eastAsia="Arial" w:hAnsi="Arial"/>
          <w:sz w:val="19"/>
          <w:szCs w:val="19"/>
          <w:color w:val="auto"/>
        </w:rPr>
      </w:pPr>
    </w:p>
    <w:p>
      <w:pPr>
        <w:jc w:val="both"/>
        <w:ind w:left="-40" w:right="220" w:firstLine="1305"/>
        <w:spacing w:after="0" w:line="243" w:lineRule="auto"/>
        <w:tabs>
          <w:tab w:leader="none" w:pos="2049"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Trading Market</w:t>
      </w:r>
      <w:r>
        <w:rPr>
          <w:rFonts w:ascii="Arial" w:cs="Arial" w:eastAsia="Arial" w:hAnsi="Arial"/>
          <w:sz w:val="22"/>
          <w:szCs w:val="22"/>
          <w:color w:val="auto"/>
        </w:rPr>
        <w:t>. The Common Stock is registered pursuant to Section 12(b) of the Exchange Act and is</w:t>
      </w:r>
      <w:r>
        <w:rPr>
          <w:rFonts w:ascii="Arial" w:cs="Arial" w:eastAsia="Arial" w:hAnsi="Arial"/>
          <w:sz w:val="22"/>
          <w:szCs w:val="22"/>
          <w:b w:val="1"/>
          <w:bCs w:val="1"/>
          <w:color w:val="auto"/>
        </w:rPr>
        <w:t xml:space="preserve"> </w:t>
      </w:r>
      <w:r>
        <w:rPr>
          <w:rFonts w:ascii="Arial" w:cs="Arial" w:eastAsia="Arial" w:hAnsi="Arial"/>
          <w:sz w:val="22"/>
          <w:szCs w:val="22"/>
          <w:color w:val="auto"/>
        </w:rPr>
        <w:t>approved for listing on the Nasdaq Global Market (“</w:t>
      </w:r>
      <w:r>
        <w:rPr>
          <w:rFonts w:ascii="Arial" w:cs="Arial" w:eastAsia="Arial" w:hAnsi="Arial"/>
          <w:sz w:val="22"/>
          <w:szCs w:val="22"/>
          <w:b w:val="1"/>
          <w:bCs w:val="1"/>
          <w:color w:val="auto"/>
        </w:rPr>
        <w:t>Nasdaq</w:t>
      </w:r>
      <w:r>
        <w:rPr>
          <w:rFonts w:ascii="Arial" w:cs="Arial" w:eastAsia="Arial" w:hAnsi="Arial"/>
          <w:sz w:val="22"/>
          <w:szCs w:val="22"/>
          <w:color w:val="auto"/>
        </w:rPr>
        <w:t>”). When issued, the Offered Shares will be listed on Nasdaq. To the Company’s knowledge, it is in compliance with all applicable listing requirements Nasdaq.</w:t>
      </w:r>
    </w:p>
    <w:p>
      <w:pPr>
        <w:spacing w:after="0" w:line="203" w:lineRule="exact"/>
        <w:rPr>
          <w:rFonts w:ascii="Arial" w:cs="Arial" w:eastAsia="Arial" w:hAnsi="Arial"/>
          <w:sz w:val="22"/>
          <w:szCs w:val="22"/>
          <w:color w:val="auto"/>
        </w:rPr>
      </w:pPr>
    </w:p>
    <w:p>
      <w:pPr>
        <w:ind w:left="-40" w:firstLine="1305"/>
        <w:spacing w:after="0" w:line="243" w:lineRule="auto"/>
        <w:tabs>
          <w:tab w:leader="none" w:pos="2001"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Absence of Manipulation</w:t>
      </w:r>
      <w:r>
        <w:rPr>
          <w:rFonts w:ascii="Arial" w:cs="Arial" w:eastAsia="Arial" w:hAnsi="Arial"/>
          <w:sz w:val="22"/>
          <w:szCs w:val="22"/>
          <w:color w:val="auto"/>
        </w:rPr>
        <w:t>. The Company has not taken, directly or indirectly, any action that is designed to</w:t>
      </w:r>
      <w:r>
        <w:rPr>
          <w:rFonts w:ascii="Arial" w:cs="Arial" w:eastAsia="Arial" w:hAnsi="Arial"/>
          <w:sz w:val="22"/>
          <w:szCs w:val="22"/>
          <w:b w:val="1"/>
          <w:bCs w:val="1"/>
          <w:color w:val="auto"/>
        </w:rPr>
        <w:t xml:space="preserve"> </w:t>
      </w:r>
      <w:r>
        <w:rPr>
          <w:rFonts w:ascii="Arial" w:cs="Arial" w:eastAsia="Arial" w:hAnsi="Arial"/>
          <w:sz w:val="22"/>
          <w:szCs w:val="22"/>
          <w:color w:val="auto"/>
        </w:rPr>
        <w:t>or that has constituted or that would reasonably be expected to cause or result in the stabilization or manipulation of the price of any security of the Company to facilitate the sale or resale of the Offered Shares.</w:t>
      </w:r>
    </w:p>
    <w:p>
      <w:pPr>
        <w:spacing w:after="0" w:line="203" w:lineRule="exact"/>
        <w:rPr>
          <w:rFonts w:ascii="Arial" w:cs="Arial" w:eastAsia="Arial" w:hAnsi="Arial"/>
          <w:sz w:val="22"/>
          <w:szCs w:val="22"/>
          <w:color w:val="auto"/>
        </w:rPr>
      </w:pPr>
    </w:p>
    <w:p>
      <w:pPr>
        <w:ind w:left="-40" w:right="100" w:firstLine="1305"/>
        <w:spacing w:after="0" w:line="243" w:lineRule="auto"/>
        <w:tabs>
          <w:tab w:leader="none" w:pos="2109"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Investment Company Act</w:t>
      </w:r>
      <w:r>
        <w:rPr>
          <w:rFonts w:ascii="Arial" w:cs="Arial" w:eastAsia="Arial" w:hAnsi="Arial"/>
          <w:sz w:val="22"/>
          <w:szCs w:val="22"/>
          <w:color w:val="auto"/>
        </w:rPr>
        <w:t>. The Company is not and, after giving effect to the offering and sale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Offered Shares and the application of the net proceeds thereof, will not be an “investment company,” as such term is defined in the Investment Company Act of 1940, as amended.</w:t>
      </w:r>
    </w:p>
    <w:p>
      <w:pPr>
        <w:spacing w:after="0" w:line="203" w:lineRule="exact"/>
        <w:rPr>
          <w:rFonts w:ascii="Arial" w:cs="Arial" w:eastAsia="Arial" w:hAnsi="Arial"/>
          <w:sz w:val="22"/>
          <w:szCs w:val="22"/>
          <w:color w:val="auto"/>
        </w:rPr>
      </w:pPr>
    </w:p>
    <w:p>
      <w:pPr>
        <w:ind w:left="-40" w:right="20" w:firstLine="1305"/>
        <w:spacing w:after="0" w:line="275" w:lineRule="auto"/>
        <w:tabs>
          <w:tab w:leader="none" w:pos="2049"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Good Standing</w:t>
      </w:r>
      <w:r>
        <w:rPr>
          <w:rFonts w:ascii="Arial" w:cs="Arial" w:eastAsia="Arial" w:hAnsi="Arial"/>
          <w:sz w:val="19"/>
          <w:szCs w:val="19"/>
          <w:color w:val="auto"/>
        </w:rPr>
        <w:t>. Each of the Company and its subsidiaries has been duly organized and is validly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as a corporation or other entity in good standing under the laws of its jurisdiction of incorporation or organization. Each of the Company and its subsidiaries has the power and authority (corporate or otherwise) to own its properties and conduct its business as currently being carried on and as described in the Registration Statement, the Time of Sale Prospectus and the Prospectus, and is duly qualified to do business as a foreign corporation or other entity in good standing in each jurisdiction in which it owns or leases real property or in which the conduct of its business makes such qualification necessary, except where the failure to so qualify would not have or be reasonably likely to result in a material adverse effect upon the business, prospects, properties, operations, condition (financial or otherwise) or results of operations of the Company and its subsidiaries, taken as a whole, or in its ability to perform its obligations under this Agreement (“</w:t>
      </w:r>
      <w:r>
        <w:rPr>
          <w:rFonts w:ascii="Arial" w:cs="Arial" w:eastAsia="Arial" w:hAnsi="Arial"/>
          <w:sz w:val="19"/>
          <w:szCs w:val="19"/>
          <w:b w:val="1"/>
          <w:bCs w:val="1"/>
          <w:color w:val="auto"/>
        </w:rPr>
        <w:t>Material Adverse Effect</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40" w:right="80" w:firstLine="1305"/>
        <w:spacing w:after="0" w:line="249" w:lineRule="auto"/>
        <w:tabs>
          <w:tab w:leader="none" w:pos="2049"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Authorization</w:t>
      </w:r>
      <w:r>
        <w:rPr>
          <w:rFonts w:ascii="Arial" w:cs="Arial" w:eastAsia="Arial" w:hAnsi="Arial"/>
          <w:sz w:val="21"/>
          <w:szCs w:val="21"/>
          <w:color w:val="auto"/>
        </w:rPr>
        <w:t>. The Company has the power and authority to enter into this Agreement and to authorize,</w:t>
      </w:r>
      <w:r>
        <w:rPr>
          <w:rFonts w:ascii="Arial" w:cs="Arial" w:eastAsia="Arial" w:hAnsi="Arial"/>
          <w:sz w:val="21"/>
          <w:szCs w:val="21"/>
          <w:b w:val="1"/>
          <w:bCs w:val="1"/>
          <w:color w:val="auto"/>
        </w:rPr>
        <w:t xml:space="preserve"> </w:t>
      </w:r>
      <w:r>
        <w:rPr>
          <w:rFonts w:ascii="Arial" w:cs="Arial" w:eastAsia="Arial" w:hAnsi="Arial"/>
          <w:sz w:val="21"/>
          <w:szCs w:val="21"/>
          <w:color w:val="auto"/>
        </w:rPr>
        <w:t>issue and sell the Offered Shares. This Agreement has been duly authorized by the Company, and when executed and delivered by the Company, will constitute the valid, legal and binding obligation of the Company, enforceable against the Company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11" w:right="259" w:bottom="1440" w:gutter="0" w:footer="0" w:header="0"/>
        </w:sectPr>
      </w:pPr>
    </w:p>
    <w:bookmarkStart w:id="8" w:name="page9"/>
    <w:bookmarkEnd w:id="8"/>
    <w:p>
      <w:pPr>
        <w:ind w:left="-8" w:right="140" w:firstLine="1305"/>
        <w:spacing w:after="0" w:line="246" w:lineRule="exact"/>
        <w:tabs>
          <w:tab w:leader="none" w:pos="2081" w:val="left"/>
        </w:tabs>
        <w:numPr>
          <w:ilvl w:val="1"/>
          <w:numId w:val="6"/>
        </w:numPr>
        <w:rPr>
          <w:rFonts w:ascii="Arial" w:cs="Arial" w:eastAsia="Arial" w:hAnsi="Arial"/>
          <w:sz w:val="19"/>
          <w:szCs w:val="19"/>
          <w:color w:val="auto"/>
        </w:rPr>
      </w:pPr>
      <w:r>
        <w:rPr>
          <w:rFonts w:ascii="Arial" w:cs="Arial" w:eastAsia="Arial" w:hAnsi="Arial"/>
          <w:sz w:val="19"/>
          <w:szCs w:val="19"/>
          <w:b w:val="1"/>
          <w:bCs w:val="1"/>
          <w:color w:val="auto"/>
        </w:rPr>
        <w:t>Contracts</w:t>
      </w:r>
      <w:r>
        <w:rPr>
          <w:rFonts w:ascii="Arial" w:cs="Arial" w:eastAsia="Arial" w:hAnsi="Arial"/>
          <w:sz w:val="19"/>
          <w:szCs w:val="19"/>
          <w:color w:val="auto"/>
        </w:rPr>
        <w:t>. The execution, delivery and performance of this Agreement and the consummation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herein and therein contemplated will not (A) result in a breach or violation of any of the terms and provisions of, or constitute a default under, any law, order, rule or regulation to which the Company or any subsidiary is subject, or by which any property or asset of the Company or any subsidiary is bound or affected, except to the extent that such breach or violation would not reasonably likely to result in a Material Adverse Effect, (B) 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(a “</w:t>
      </w:r>
      <w:r>
        <w:rPr>
          <w:rFonts w:ascii="Arial" w:cs="Arial" w:eastAsia="Arial" w:hAnsi="Arial"/>
          <w:sz w:val="19"/>
          <w:szCs w:val="19"/>
          <w:b w:val="1"/>
          <w:bCs w:val="1"/>
          <w:color w:val="auto"/>
        </w:rPr>
        <w:t>Default Acceleration</w:t>
      </w:r>
      <w:r>
        <w:rPr>
          <w:rFonts w:ascii="Arial" w:cs="Arial" w:eastAsia="Arial" w:hAnsi="Arial"/>
          <w:sz w:val="19"/>
          <w:szCs w:val="19"/>
          <w:color w:val="auto"/>
        </w:rPr>
        <w:t xml:space="preserve"> </w:t>
      </w:r>
      <w:r>
        <w:rPr>
          <w:rFonts w:ascii="Arial" w:cs="Arial" w:eastAsia="Arial" w:hAnsi="Arial"/>
          <w:sz w:val="19"/>
          <w:szCs w:val="19"/>
          <w:b w:val="1"/>
          <w:bCs w:val="1"/>
          <w:color w:val="auto"/>
        </w:rPr>
        <w:t>Event</w:t>
      </w:r>
      <w:r>
        <w:rPr>
          <w:rFonts w:ascii="Arial" w:cs="Arial" w:eastAsia="Arial" w:hAnsi="Arial"/>
          <w:sz w:val="19"/>
          <w:szCs w:val="19"/>
          <w:color w:val="auto"/>
        </w:rPr>
        <w:t>”) of, any agreement, lease, credit facility, debt, note, bond, mortgage, indenture or other instrument (the “</w:t>
      </w:r>
      <w:r>
        <w:rPr>
          <w:rFonts w:ascii="Arial" w:cs="Arial" w:eastAsia="Arial" w:hAnsi="Arial"/>
          <w:sz w:val="19"/>
          <w:szCs w:val="19"/>
          <w:b w:val="1"/>
          <w:bCs w:val="1"/>
          <w:color w:val="auto"/>
        </w:rPr>
        <w:t>Contracts</w:t>
      </w:r>
      <w:r>
        <w:rPr>
          <w:rFonts w:ascii="Arial" w:cs="Arial" w:eastAsia="Arial" w:hAnsi="Arial"/>
          <w:sz w:val="19"/>
          <w:szCs w:val="19"/>
          <w:color w:val="auto"/>
        </w:rPr>
        <w:t>”) or</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or other understanding to which the Company or any subsidiary is a party or by which any property or asset of the Company or any subsidiary is bound or affected, except to the extent that such conflict, violation, breach, default, or Default Acceleration Event would not reasonably likely to result in a Material Adverse Effect, or (C) result in a breach or violation of any of the terms and provisions of, or constitute a default under, the Company’s certificate of incorporation or by</w:t>
      </w:r>
      <w:r>
        <w:rPr>
          <w:rFonts w:ascii="MS PGothic" w:cs="MS PGothic" w:eastAsia="MS PGothic" w:hAnsi="MS PGothic"/>
          <w:sz w:val="19"/>
          <w:szCs w:val="19"/>
          <w:color w:val="auto"/>
        </w:rPr>
        <w:t>‑</w:t>
      </w:r>
      <w:r>
        <w:rPr>
          <w:rFonts w:ascii="Arial" w:cs="Arial" w:eastAsia="Arial" w:hAnsi="Arial"/>
          <w:sz w:val="19"/>
          <w:szCs w:val="19"/>
          <w:color w:val="auto"/>
        </w:rPr>
        <w:t>laws.</w:t>
      </w:r>
    </w:p>
    <w:p>
      <w:pPr>
        <w:spacing w:after="0" w:line="211" w:lineRule="exact"/>
        <w:rPr>
          <w:rFonts w:ascii="Arial" w:cs="Arial" w:eastAsia="Arial" w:hAnsi="Arial"/>
          <w:sz w:val="19"/>
          <w:szCs w:val="19"/>
          <w:color w:val="auto"/>
        </w:rPr>
      </w:pPr>
    </w:p>
    <w:p>
      <w:pPr>
        <w:ind w:left="-8" w:right="120" w:firstLine="1305"/>
        <w:spacing w:after="0" w:line="335" w:lineRule="auto"/>
        <w:tabs>
          <w:tab w:leader="none" w:pos="2081" w:val="left"/>
        </w:tabs>
        <w:numPr>
          <w:ilvl w:val="1"/>
          <w:numId w:val="6"/>
        </w:numPr>
        <w:rPr>
          <w:rFonts w:ascii="Arial" w:cs="Arial" w:eastAsia="Arial" w:hAnsi="Arial"/>
          <w:sz w:val="19"/>
          <w:szCs w:val="19"/>
          <w:color w:val="auto"/>
        </w:rPr>
      </w:pPr>
      <w:r>
        <w:rPr>
          <w:rFonts w:ascii="Arial" w:cs="Arial" w:eastAsia="Arial" w:hAnsi="Arial"/>
          <w:sz w:val="19"/>
          <w:szCs w:val="19"/>
          <w:b w:val="1"/>
          <w:bCs w:val="1"/>
          <w:color w:val="auto"/>
        </w:rPr>
        <w:t>No Violations of Governing Documents</w:t>
      </w:r>
      <w:r>
        <w:rPr>
          <w:rFonts w:ascii="Arial" w:cs="Arial" w:eastAsia="Arial" w:hAnsi="Arial"/>
          <w:sz w:val="19"/>
          <w:szCs w:val="19"/>
          <w:color w:val="auto"/>
        </w:rPr>
        <w:t>. Neither the Company nor any of its subsidiaries is in violation,</w:t>
      </w:r>
      <w:r>
        <w:rPr>
          <w:rFonts w:ascii="Arial" w:cs="Arial" w:eastAsia="Arial" w:hAnsi="Arial"/>
          <w:sz w:val="19"/>
          <w:szCs w:val="19"/>
          <w:b w:val="1"/>
          <w:bCs w:val="1"/>
          <w:color w:val="auto"/>
        </w:rPr>
        <w:t xml:space="preserve"> </w:t>
      </w:r>
      <w:r>
        <w:rPr>
          <w:rFonts w:ascii="Arial" w:cs="Arial" w:eastAsia="Arial" w:hAnsi="Arial"/>
          <w:sz w:val="19"/>
          <w:szCs w:val="19"/>
          <w:color w:val="auto"/>
        </w:rPr>
        <w:t>breach or default under its certificate of incorporation, by-laws or other equivalent organizational or governing documents.</w:t>
      </w:r>
    </w:p>
    <w:p>
      <w:pPr>
        <w:spacing w:after="0" w:line="119" w:lineRule="exact"/>
        <w:rPr>
          <w:rFonts w:ascii="Arial" w:cs="Arial" w:eastAsia="Arial" w:hAnsi="Arial"/>
          <w:sz w:val="19"/>
          <w:szCs w:val="19"/>
          <w:color w:val="auto"/>
        </w:rPr>
      </w:pPr>
    </w:p>
    <w:p>
      <w:pPr>
        <w:ind w:left="-8" w:firstLine="1305"/>
        <w:spacing w:after="0" w:line="280" w:lineRule="auto"/>
        <w:tabs>
          <w:tab w:leader="none" w:pos="2045" w:val="left"/>
        </w:tabs>
        <w:numPr>
          <w:ilvl w:val="1"/>
          <w:numId w:val="6"/>
        </w:numPr>
        <w:rPr>
          <w:rFonts w:ascii="Arial" w:cs="Arial" w:eastAsia="Arial" w:hAnsi="Arial"/>
          <w:sz w:val="19"/>
          <w:szCs w:val="19"/>
          <w:color w:val="auto"/>
        </w:rPr>
      </w:pPr>
      <w:r>
        <w:rPr>
          <w:rFonts w:ascii="Arial" w:cs="Arial" w:eastAsia="Arial" w:hAnsi="Arial"/>
          <w:sz w:val="19"/>
          <w:szCs w:val="19"/>
          <w:b w:val="1"/>
          <w:bCs w:val="1"/>
          <w:color w:val="auto"/>
        </w:rPr>
        <w:t>Consents</w:t>
      </w:r>
      <w:r>
        <w:rPr>
          <w:rFonts w:ascii="Arial" w:cs="Arial" w:eastAsia="Arial" w:hAnsi="Arial"/>
          <w:sz w:val="19"/>
          <w:szCs w:val="19"/>
          <w:color w:val="auto"/>
        </w:rPr>
        <w:t>. No consents, approvals, orders, authorizations or filings are required on the part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execution, delivery or performance of this Agreement and the issue and sale of the Offered Shares, except</w:t>
      </w:r>
    </w:p>
    <w:p>
      <w:pPr>
        <w:ind w:left="-8" w:firstLine="8"/>
        <w:spacing w:after="0" w:line="244" w:lineRule="auto"/>
        <w:tabs>
          <w:tab w:leader="none" w:pos="346"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registration under the Securities Act of the Offered Shares, which has been effected, (B) the necessary filings and approvals from Nasdaq to list the Offered Shares, when issued, (C) such consents, approvals, authorizations, registrations or qualifications as may be required under state or foreign securities or Blue Sky laws in connection with the purchase of the Offered Shares and distribution of the Offered Shares by the several Underwriters, (D) such consents and approvals as have been obtained and are in full force and effect, and (E) such consents, approvals, orders, authorizations and filings the failure of which to make or obtain is not reasonably likely to result in a Material Adverse Effect.</w:t>
      </w:r>
    </w:p>
    <w:p>
      <w:pPr>
        <w:spacing w:after="0" w:line="204" w:lineRule="exact"/>
        <w:rPr>
          <w:rFonts w:ascii="Arial" w:cs="Arial" w:eastAsia="Arial" w:hAnsi="Arial"/>
          <w:sz w:val="21"/>
          <w:szCs w:val="21"/>
          <w:color w:val="auto"/>
        </w:rPr>
      </w:pPr>
    </w:p>
    <w:p>
      <w:pPr>
        <w:ind w:left="-8" w:right="20" w:firstLine="1305"/>
        <w:spacing w:after="0" w:line="271" w:lineRule="auto"/>
        <w:tabs>
          <w:tab w:leader="none" w:pos="2057" w:val="left"/>
        </w:tabs>
        <w:numPr>
          <w:ilvl w:val="1"/>
          <w:numId w:val="7"/>
        </w:numPr>
        <w:rPr>
          <w:rFonts w:ascii="Arial" w:cs="Arial" w:eastAsia="Arial" w:hAnsi="Arial"/>
          <w:sz w:val="19"/>
          <w:szCs w:val="19"/>
          <w:color w:val="auto"/>
        </w:rPr>
      </w:pPr>
      <w:r>
        <w:rPr>
          <w:rFonts w:ascii="Arial" w:cs="Arial" w:eastAsia="Arial" w:hAnsi="Arial"/>
          <w:sz w:val="19"/>
          <w:szCs w:val="19"/>
          <w:b w:val="1"/>
          <w:bCs w:val="1"/>
          <w:color w:val="auto"/>
        </w:rPr>
        <w:t>Capitalization</w:t>
      </w:r>
      <w:r>
        <w:rPr>
          <w:rFonts w:ascii="Arial" w:cs="Arial" w:eastAsia="Arial" w:hAnsi="Arial"/>
          <w:sz w:val="19"/>
          <w:szCs w:val="19"/>
          <w:color w:val="auto"/>
        </w:rPr>
        <w:t>. The Company has an authorized capitalization as set forth in the Registration Statement,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Time of Sale Prospectus and the Prospectus. All of the issued and outstanding shares of capital stock of the Company are duly authorized and validly issued, fully paid and nonassessable, and have been issued in compliance in all material respects with all applicable securities laws, and conform in all material respects to the description thereof in the Registration Statement, the Time of Sale Prospectus and the Prospectus. All of the issued shares of capital stock of each subsidiary of the Company have been duly and validly authorized and issued, are fully paid and non-assessable and, except as set forth in the Registration Statement, the Time of Sale Prospectus and the Prospectus, are owned directly or indirectly by the Company, free and clear of all liens, encumbrances, equities or claims. Except for the issuances of options or restricted stock in the ordinary course of business, since the respective dates as of which information is provided in the Registration Statement, the Time of Sale Prospectus or the Prospectus, the Company has not entered into or granted any convertible or exchangeable securities, options, warrants, agreements, contracts or other rights in existence to purchase or acquire from the Company any shares of the capital stock of the Company. The Offered Shares, when issued and paid for as provided herein, will be duly authorized and validly issued, fully paid and nonassessable, will be issued in compliance with all applicable securities laws, and will be free of preemptive, registration or similar rights and will conform in all material respects to the description of the capital stock of the Company contained in the Registration Statement, the Time of Sale Prospectus and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-401955</wp:posOffset>
            </wp:positionV>
            <wp:extent cx="34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0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111" w:right="299" w:bottom="1440" w:gutter="0" w:footer="0" w:header="0"/>
        </w:sectPr>
      </w:pPr>
    </w:p>
    <w:bookmarkStart w:id="9" w:name="page10"/>
    <w:bookmarkEnd w:id="9"/>
    <w:p>
      <w:pPr>
        <w:ind w:left="-20" w:right="60" w:firstLine="1305"/>
        <w:spacing w:after="0" w:line="271" w:lineRule="auto"/>
        <w:tabs>
          <w:tab w:leader="none" w:pos="2021"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Except as would not reasonably be expected to result in a Material Adverse Effect,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its subsidiaries has (A) filed all foreign, federal, state and local tax returns (as hereinafter defined) required to be filed with taxing authorities prior to the date hereof or has duly obtained extensions of time for the filing thereof and (B) paid all taxes (as hereinafter defined) shown as due and payable on such returns that were filed and has paid all taxes imposed on or assessed against the Company or such respective subsidiary. The provisions for taxes payable, if any, shown on the financial statements included in the Registration Statement, the Time of Sale Prospectus and the Prospectus are sufficient for all accrued and unpaid taxes, whether or not disputed, and for all periods to and including the dates of such consolidated financial statements. No issues have been raised (and are currently pending) by any taxing authority in connection with any of the returns or taxes asserted as due from the Company or its subsidiaries, and no waivers of statutes of limitation with respect to the returns or collection of taxes have been given by or requested from the Company or its subsidiaries. The term “</w:t>
      </w:r>
      <w:r>
        <w:rPr>
          <w:rFonts w:ascii="Arial" w:cs="Arial" w:eastAsia="Arial" w:hAnsi="Arial"/>
          <w:sz w:val="19"/>
          <w:szCs w:val="19"/>
          <w:b w:val="1"/>
          <w:bCs w:val="1"/>
          <w:color w:val="auto"/>
        </w:rPr>
        <w:t>taxes</w:t>
      </w:r>
      <w:r>
        <w:rPr>
          <w:rFonts w:ascii="Arial" w:cs="Arial" w:eastAsia="Arial" w:hAnsi="Arial"/>
          <w:sz w:val="19"/>
          <w:szCs w:val="19"/>
          <w:color w:val="auto"/>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Arial" w:cs="Arial" w:eastAsia="Arial" w:hAnsi="Arial"/>
          <w:sz w:val="19"/>
          <w:szCs w:val="19"/>
          <w:b w:val="1"/>
          <w:bCs w:val="1"/>
          <w:color w:val="auto"/>
        </w:rPr>
        <w:t>returns</w:t>
      </w:r>
      <w:r>
        <w:rPr>
          <w:rFonts w:ascii="Arial" w:cs="Arial" w:eastAsia="Arial" w:hAnsi="Arial"/>
          <w:sz w:val="19"/>
          <w:szCs w:val="19"/>
          <w:color w:val="auto"/>
        </w:rPr>
        <w:t>” means all returns, declarations, reports, statements, and other documents required to be filed in respect to taxes.</w:t>
      </w:r>
    </w:p>
    <w:p>
      <w:pPr>
        <w:spacing w:after="0" w:line="189" w:lineRule="exact"/>
        <w:rPr>
          <w:rFonts w:ascii="Arial" w:cs="Arial" w:eastAsia="Arial" w:hAnsi="Arial"/>
          <w:sz w:val="19"/>
          <w:szCs w:val="19"/>
          <w:color w:val="auto"/>
        </w:rPr>
      </w:pPr>
    </w:p>
    <w:p>
      <w:pPr>
        <w:ind w:left="-20" w:right="60" w:firstLine="1305"/>
        <w:spacing w:after="0" w:line="273" w:lineRule="auto"/>
        <w:tabs>
          <w:tab w:leader="none" w:pos="2069"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Material Change</w:t>
      </w:r>
      <w:r>
        <w:rPr>
          <w:rFonts w:ascii="Arial" w:cs="Arial" w:eastAsia="Arial" w:hAnsi="Arial"/>
          <w:sz w:val="19"/>
          <w:szCs w:val="19"/>
          <w:color w:val="auto"/>
        </w:rPr>
        <w:t>. Since the respective dates as of which information is given in the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the Time of Sale Prospectus or the Prospectus, (A) neither the Company nor any of its subsidiaries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(other than a change in the number of outstanding shares of common stock due to the issuance of shares upon the exercise of outstanding options or warrants, upon the conversion of outstanding shares of preferred stock or other convertible securities or the issuance of restricted stock awards or restricted stock units under the Company’s existing stock awards plan, or any new grants thereof in the ordinary course of business); (D) there has not been any material change in the Company’s long-term or short-term debt; and (E) there has not been the occurrence of any material adverse change or development that could be expected to have a material adverse effect upon the business, prospects, properties, operations, condition (financial or otherwise) or results of operations of the Company and its subsidiaries, taken as a whole, or in its ability to perform its obligations under this Agreement (a “</w:t>
      </w:r>
      <w:r>
        <w:rPr>
          <w:rFonts w:ascii="Arial" w:cs="Arial" w:eastAsia="Arial" w:hAnsi="Arial"/>
          <w:sz w:val="19"/>
          <w:szCs w:val="19"/>
          <w:b w:val="1"/>
          <w:bCs w:val="1"/>
          <w:color w:val="auto"/>
        </w:rPr>
        <w:t>Material Adverse Change</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20" w:firstLine="1305"/>
        <w:spacing w:after="0" w:line="254" w:lineRule="auto"/>
        <w:tabs>
          <w:tab w:leader="none" w:pos="2069"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Absence of Proceedings</w:t>
      </w:r>
      <w:r>
        <w:rPr>
          <w:rFonts w:ascii="Arial" w:cs="Arial" w:eastAsia="Arial" w:hAnsi="Arial"/>
          <w:sz w:val="21"/>
          <w:szCs w:val="21"/>
          <w:color w:val="auto"/>
        </w:rPr>
        <w:t>. There is not pending or, to the knowledge of the Company, threatened, any</w:t>
      </w:r>
      <w:r>
        <w:rPr>
          <w:rFonts w:ascii="Arial" w:cs="Arial" w:eastAsia="Arial" w:hAnsi="Arial"/>
          <w:sz w:val="21"/>
          <w:szCs w:val="21"/>
          <w:b w:val="1"/>
          <w:bCs w:val="1"/>
          <w:color w:val="auto"/>
        </w:rPr>
        <w:t xml:space="preserve"> </w:t>
      </w:r>
      <w:r>
        <w:rPr>
          <w:rFonts w:ascii="Arial" w:cs="Arial" w:eastAsia="Arial" w:hAnsi="Arial"/>
          <w:sz w:val="21"/>
          <w:szCs w:val="21"/>
          <w:color w:val="auto"/>
        </w:rPr>
        <w:t>action, suit or proceeding to which the Company or any of its subsidiaries is a party or of which any property or assets of the Company or any of its subsidiaries is the subject before or by any court or governmental agency, authority or body, or any arbitrator or mediator, which is reasonably likely to result in a Material Adverse Effect.</w:t>
      </w:r>
    </w:p>
    <w:p>
      <w:pPr>
        <w:spacing w:after="0" w:line="193" w:lineRule="exact"/>
        <w:rPr>
          <w:rFonts w:ascii="Arial" w:cs="Arial" w:eastAsia="Arial" w:hAnsi="Arial"/>
          <w:sz w:val="21"/>
          <w:szCs w:val="21"/>
          <w:color w:val="auto"/>
        </w:rPr>
      </w:pPr>
    </w:p>
    <w:p>
      <w:pPr>
        <w:ind w:left="-20" w:right="20" w:firstLine="1305"/>
        <w:spacing w:after="0" w:line="253" w:lineRule="exact"/>
        <w:tabs>
          <w:tab w:leader="none" w:pos="2117"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Permits</w:t>
      </w:r>
      <w:r>
        <w:rPr>
          <w:rFonts w:ascii="Arial" w:cs="Arial" w:eastAsia="Arial" w:hAnsi="Arial"/>
          <w:sz w:val="19"/>
          <w:szCs w:val="19"/>
          <w:color w:val="auto"/>
        </w:rPr>
        <w:t>. The Company and each of its subsidiaries holds, and is in compliance with, all franchises, grants,</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authorizations, licenses, permits, easements, consents, certificates and orders (“</w:t>
      </w:r>
      <w:r>
        <w:rPr>
          <w:rFonts w:ascii="Arial" w:cs="Arial" w:eastAsia="Arial" w:hAnsi="Arial"/>
          <w:sz w:val="19"/>
          <w:szCs w:val="19"/>
          <w:b w:val="1"/>
          <w:bCs w:val="1"/>
          <w:color w:val="auto"/>
        </w:rPr>
        <w:t>Permits</w:t>
      </w:r>
      <w:r>
        <w:rPr>
          <w:rFonts w:ascii="Arial" w:cs="Arial" w:eastAsia="Arial" w:hAnsi="Arial"/>
          <w:sz w:val="19"/>
          <w:szCs w:val="19"/>
          <w:color w:val="auto"/>
        </w:rPr>
        <w:t>”) of any governmental or self</w:t>
      </w:r>
      <w:r>
        <w:rPr>
          <w:rFonts w:ascii="MS PGothic" w:cs="MS PGothic" w:eastAsia="MS PGothic" w:hAnsi="MS PGothic"/>
          <w:sz w:val="19"/>
          <w:szCs w:val="19"/>
          <w:color w:val="auto"/>
        </w:rPr>
        <w:t>‑</w:t>
      </w:r>
      <w:r>
        <w:rPr>
          <w:rFonts w:ascii="Arial" w:cs="Arial" w:eastAsia="Arial" w:hAnsi="Arial"/>
          <w:sz w:val="19"/>
          <w:szCs w:val="19"/>
          <w:color w:val="auto"/>
        </w:rPr>
        <w:t>regulatory agency, authority or body required for the conduct of its business, and all such Permits are in full force and effect, in each case except where the failure to hold, or comply with, any of them is not reasonably likely to result in a Material Adverse Effect.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1" w:right="259" w:bottom="1440" w:gutter="0" w:footer="0" w:header="0"/>
        </w:sectPr>
      </w:pPr>
    </w:p>
    <w:bookmarkStart w:id="10" w:name="page11"/>
    <w:bookmarkEnd w:id="10"/>
    <w:p>
      <w:pPr>
        <w:ind w:left="-20" w:firstLine="1305"/>
        <w:spacing w:after="0" w:line="278" w:lineRule="auto"/>
        <w:tabs>
          <w:tab w:leader="none" w:pos="2069"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Good Title</w:t>
      </w:r>
      <w:r>
        <w:rPr>
          <w:rFonts w:ascii="Arial" w:cs="Arial" w:eastAsia="Arial" w:hAnsi="Arial"/>
          <w:sz w:val="19"/>
          <w:szCs w:val="19"/>
          <w:color w:val="auto"/>
        </w:rPr>
        <w:t>. The Company and each of its subsidiaries have good and marketable title to all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(whether real or personal) described in the Registration Statement, the Time of Sale Prospectus and the Prospectus as being owned by them that are material to the business of the Company, in each case free and clear of all liens, claims, security interests, other encumbrances or defects, except as disclosed in the Time of Sale Prospectus or those that are not reasonably likely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and its subsidiaries.</w:t>
      </w:r>
    </w:p>
    <w:p>
      <w:pPr>
        <w:spacing w:after="0" w:line="173" w:lineRule="exact"/>
        <w:rPr>
          <w:rFonts w:ascii="Arial" w:cs="Arial" w:eastAsia="Arial" w:hAnsi="Arial"/>
          <w:sz w:val="19"/>
          <w:szCs w:val="19"/>
          <w:color w:val="auto"/>
        </w:rPr>
      </w:pPr>
    </w:p>
    <w:p>
      <w:pPr>
        <w:ind w:left="-20" w:firstLine="1305"/>
        <w:spacing w:after="0" w:line="269" w:lineRule="auto"/>
        <w:tabs>
          <w:tab w:leader="none" w:pos="2069"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Intellectual Property</w:t>
      </w:r>
      <w:r>
        <w:rPr>
          <w:rFonts w:ascii="Arial" w:cs="Arial" w:eastAsia="Arial" w:hAnsi="Arial"/>
          <w:sz w:val="19"/>
          <w:szCs w:val="19"/>
          <w:color w:val="auto"/>
        </w:rPr>
        <w:t>. The Company and its subsidiaries, taken as a whole, own, license, possess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have a valid right to use, or can acquire on reasonable terms all the rights necessary to use, trademarks, trade names, patent rights, copyrights, domain names, licenses, trade secrets, inventions, technology, know-how and other intellectual property, and similar rights, including registrations and applications for registration thereof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necessary to the conduct of the business now conducted or proposed in the Time of Sale Prospectus to be conducted by them. Except as disclosed in the Time of Sale Prospectus, (A) there are no rights of third parties to any of the Intellectual Property Rights owned by the Company or its subsidiaries; (B) to the knowledge of the Company, there is no infringement, misappropriation breach, default or other violation, or the occurrence of any event that with notice or the passage of time would constitute any of the foregoing, by third parties of any of the Intellectual Property Rights of the Company or its subsidiaries; (C) there is no pending or, to the Company’s knowledge, threatened action, suit, proceeding or claim by others challenging the Company’s or any subsidiary’s rights in or to, or the violation of any of the terms of, any of their Intellectual Property Rights; (D) there is no pending or, to the Company’s knowledge, threatened action, suit, proceeding or claim by others challenging the validity, enforceability or scope of any such Intellectual Property Rights; (E) there is no pending or, to the Company’s knowledge, threatened action, suit, proceeding or claim by others that the Company or any subsidiary infringes, misappropriates or otherwise violates or conflicts with any Intellectual Property Rights or other proprietary rights of others; and (F) none of the Intellectual Property Rights used by the Company or its subsidiaries in their businesses has been obtained or is being used by the Company or its subsidiaries in violation of any contractual obligation binding on the Company or any of its subsidiaries or, to the Company’s knowledge, in violation of the rights of any persons, except in each case covered by clauses (A) – (F) such as would not, if determined adversely to the Company or any of its subsidiaries, individually or in the aggregate, reasonably be expected to have a Material Adverse Effect. The Company and its subsidiaries own or have a valid right to access and us or can acquire on reasonable terms all computer systems, networks, hardware, software, databases, websites, and equipment necessary to process, store, maintain, deliver and operate data, information, and functions necessary in connection with the business of the Company and its subsidiaries (the “</w:t>
      </w:r>
      <w:r>
        <w:rPr>
          <w:rFonts w:ascii="Arial" w:cs="Arial" w:eastAsia="Arial" w:hAnsi="Arial"/>
          <w:sz w:val="19"/>
          <w:szCs w:val="19"/>
          <w:b w:val="1"/>
          <w:bCs w:val="1"/>
          <w:color w:val="auto"/>
        </w:rPr>
        <w:t>Company IT Systems</w:t>
      </w:r>
      <w:r>
        <w:rPr>
          <w:rFonts w:ascii="Arial" w:cs="Arial" w:eastAsia="Arial" w:hAnsi="Arial"/>
          <w:sz w:val="19"/>
          <w:szCs w:val="19"/>
          <w:color w:val="auto"/>
        </w:rPr>
        <w:t>”). The Company IT Systems operate and perform in all material respects as required in connection with the operation of the business of the Company and its subsidiaries as currently conducted or proposed in the Time of Sale Prospectus to be conducted by them. The Company and its subsidiaries have implemented such backup, security and disaster systems as the Company reasonably believes are prudent and customary for similarly sized companies in the businesses in which they are engaged.</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20" w:right="160" w:firstLine="1305"/>
        <w:spacing w:after="0" w:line="274" w:lineRule="auto"/>
        <w:tabs>
          <w:tab w:leader="none" w:pos="2056"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Employment Matters</w:t>
      </w:r>
      <w:r>
        <w:rPr>
          <w:rFonts w:ascii="Arial" w:cs="Arial" w:eastAsia="Arial" w:hAnsi="Arial"/>
          <w:sz w:val="19"/>
          <w:szCs w:val="19"/>
          <w:color w:val="auto"/>
        </w:rPr>
        <w:t>. There is (A) no unfair labor practice complaint pending against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its subsidiaries, nor 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or any of its subsidiaries and (B)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2" w:right="259" w:bottom="1440" w:gutter="0" w:footer="0" w:header="0"/>
        </w:sectPr>
      </w:pPr>
    </w:p>
    <w:bookmarkStart w:id="11" w:name="page12"/>
    <w:bookmarkEnd w:id="11"/>
    <w:p>
      <w:pPr>
        <w:ind w:left="-80" w:right="20" w:firstLine="1305"/>
        <w:spacing w:after="0" w:line="272" w:lineRule="auto"/>
        <w:tabs>
          <w:tab w:leader="none" w:pos="2038"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ERISA Compliance</w:t>
      </w:r>
      <w:r>
        <w:rPr>
          <w:rFonts w:ascii="Arial" w:cs="Arial" w:eastAsia="Arial" w:hAnsi="Arial"/>
          <w:sz w:val="19"/>
          <w:szCs w:val="19"/>
          <w:color w:val="auto"/>
        </w:rPr>
        <w:t>. No “prohibited transaction” (as defined in Section 406 of the Employee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Income Security Act of 1974, as amended, including the regulations and published interpretations thereunder (“</w:t>
      </w:r>
      <w:r>
        <w:rPr>
          <w:rFonts w:ascii="Arial" w:cs="Arial" w:eastAsia="Arial" w:hAnsi="Arial"/>
          <w:sz w:val="19"/>
          <w:szCs w:val="19"/>
          <w:b w:val="1"/>
          <w:bCs w:val="1"/>
          <w:color w:val="auto"/>
        </w:rPr>
        <w:t>ERISA</w:t>
      </w:r>
      <w:r>
        <w:rPr>
          <w:rFonts w:ascii="Arial" w:cs="Arial" w:eastAsia="Arial" w:hAnsi="Arial"/>
          <w:sz w:val="19"/>
          <w:szCs w:val="19"/>
          <w:color w:val="auto"/>
        </w:rPr>
        <w:t>”), or Section 4975 of the Internal Revenue Code of 1986, as amended from time to time (the “</w:t>
      </w:r>
      <w:r>
        <w:rPr>
          <w:rFonts w:ascii="Arial" w:cs="Arial" w:eastAsia="Arial" w:hAnsi="Arial"/>
          <w:sz w:val="19"/>
          <w:szCs w:val="19"/>
          <w:b w:val="1"/>
          <w:bCs w:val="1"/>
          <w:color w:val="auto"/>
        </w:rPr>
        <w:t>Code”</w:t>
      </w:r>
      <w:r>
        <w:rPr>
          <w:rFonts w:ascii="Arial" w:cs="Arial" w:eastAsia="Arial" w:hAnsi="Arial"/>
          <w:sz w:val="19"/>
          <w:szCs w:val="19"/>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reasonably be expected to, singularly or in the aggregate, have a Material Adverse Effect. Each employee benefit plan of the Company or any of its subsidiaries is in compliance in all material respects with applicable law, including ERISA and the Code. The Company and its subsidiaries have not incurred and would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could, singularly or in the aggregate, cause the loss of such qualification.</w:t>
      </w:r>
    </w:p>
    <w:p>
      <w:pPr>
        <w:spacing w:after="0" w:line="184" w:lineRule="exact"/>
        <w:rPr>
          <w:rFonts w:ascii="Arial" w:cs="Arial" w:eastAsia="Arial" w:hAnsi="Arial"/>
          <w:sz w:val="19"/>
          <w:szCs w:val="19"/>
          <w:color w:val="auto"/>
        </w:rPr>
      </w:pPr>
    </w:p>
    <w:p>
      <w:pPr>
        <w:ind w:left="-80" w:firstLine="1305"/>
        <w:spacing w:after="0" w:line="272" w:lineRule="auto"/>
        <w:tabs>
          <w:tab w:leader="none" w:pos="2063"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Environmental Matters</w:t>
      </w:r>
      <w:r>
        <w:rPr>
          <w:rFonts w:ascii="Arial" w:cs="Arial" w:eastAsia="Arial" w:hAnsi="Arial"/>
          <w:sz w:val="19"/>
          <w:szCs w:val="19"/>
          <w:color w:val="auto"/>
        </w:rPr>
        <w:t>. The Company and its subsidiaries are in compliance with all foreign, federal,</w:t>
      </w:r>
      <w:r>
        <w:rPr>
          <w:rFonts w:ascii="Arial" w:cs="Arial" w:eastAsia="Arial" w:hAnsi="Arial"/>
          <w:sz w:val="19"/>
          <w:szCs w:val="19"/>
          <w:b w:val="1"/>
          <w:bCs w:val="1"/>
          <w:color w:val="auto"/>
        </w:rPr>
        <w:t xml:space="preserve"> </w:t>
      </w:r>
      <w:r>
        <w:rPr>
          <w:rFonts w:ascii="Arial" w:cs="Arial" w:eastAsia="Arial" w:hAnsi="Arial"/>
          <w:sz w:val="19"/>
          <w:szCs w:val="19"/>
          <w:color w:val="auto"/>
        </w:rPr>
        <w:t>state and local rules, laws and regulations relating to the use, treatment, storage and disposal of hazardous or toxic substances or waste and protection of health and safety or the environment which are applicable to their businesses (“</w:t>
      </w:r>
      <w:r>
        <w:rPr>
          <w:rFonts w:ascii="Arial" w:cs="Arial" w:eastAsia="Arial" w:hAnsi="Arial"/>
          <w:sz w:val="19"/>
          <w:szCs w:val="19"/>
          <w:b w:val="1"/>
          <w:bCs w:val="1"/>
          <w:color w:val="auto"/>
        </w:rPr>
        <w:t>Environmental Laws</w:t>
      </w:r>
      <w:r>
        <w:rPr>
          <w:rFonts w:ascii="Arial" w:cs="Arial" w:eastAsia="Arial" w:hAnsi="Arial"/>
          <w:sz w:val="19"/>
          <w:szCs w:val="19"/>
          <w:color w:val="auto"/>
        </w:rPr>
        <w:t>”), except where the failure to comply has not had and would not reasonably be expected to have, singularly or in the aggregate, a Material Adverse Effect.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179" w:lineRule="exact"/>
        <w:rPr>
          <w:rFonts w:ascii="Arial" w:cs="Arial" w:eastAsia="Arial" w:hAnsi="Arial"/>
          <w:sz w:val="19"/>
          <w:szCs w:val="19"/>
          <w:color w:val="auto"/>
        </w:rPr>
      </w:pPr>
    </w:p>
    <w:p>
      <w:pPr>
        <w:ind w:left="-80" w:right="120" w:firstLine="1305"/>
        <w:spacing w:after="0" w:line="261" w:lineRule="auto"/>
        <w:tabs>
          <w:tab w:leader="none" w:pos="2038" w:val="left"/>
        </w:tabs>
        <w:numPr>
          <w:ilvl w:val="0"/>
          <w:numId w:val="10"/>
        </w:numPr>
        <w:rPr>
          <w:rFonts w:ascii="Arial" w:cs="Arial" w:eastAsia="Arial" w:hAnsi="Arial"/>
          <w:sz w:val="21"/>
          <w:szCs w:val="21"/>
          <w:color w:val="auto"/>
        </w:rPr>
      </w:pPr>
      <w:r>
        <w:rPr>
          <w:rFonts w:ascii="Arial" w:cs="Arial" w:eastAsia="Arial" w:hAnsi="Arial"/>
          <w:sz w:val="21"/>
          <w:szCs w:val="21"/>
          <w:b w:val="1"/>
          <w:bCs w:val="1"/>
          <w:color w:val="auto"/>
        </w:rPr>
        <w:t>SOX Compliance</w:t>
      </w:r>
      <w:r>
        <w:rPr>
          <w:rFonts w:ascii="Arial" w:cs="Arial" w:eastAsia="Arial" w:hAnsi="Arial"/>
          <w:sz w:val="21"/>
          <w:szCs w:val="21"/>
          <w:color w:val="auto"/>
        </w:rPr>
        <w:t>. The Company is in compliance in all material respects with all provisions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Sarbanes-Oxley Act of 2002 and all rules and regulations promulgated thereunder or implementing the provisions thereof that are in effect and with which the Company is required to be in compliance as of the Effective Time.</w:t>
      </w:r>
    </w:p>
    <w:p>
      <w:pPr>
        <w:spacing w:after="0" w:line="184" w:lineRule="exact"/>
        <w:rPr>
          <w:rFonts w:ascii="Arial" w:cs="Arial" w:eastAsia="Arial" w:hAnsi="Arial"/>
          <w:sz w:val="21"/>
          <w:szCs w:val="21"/>
          <w:color w:val="auto"/>
        </w:rPr>
      </w:pPr>
    </w:p>
    <w:p>
      <w:pPr>
        <w:ind w:left="-80" w:firstLine="1305"/>
        <w:spacing w:after="0" w:line="237" w:lineRule="auto"/>
        <w:tabs>
          <w:tab w:leader="none" w:pos="2063"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 xml:space="preserve">No Restrictions on Payments by Subsidiaries. </w:t>
      </w:r>
      <w:r>
        <w:rPr>
          <w:rFonts w:ascii="Arial" w:cs="Arial" w:eastAsia="Arial" w:hAnsi="Arial"/>
          <w:sz w:val="22"/>
          <w:szCs w:val="22"/>
          <w:color w:val="auto"/>
        </w:rPr>
        <w:t>No subsidiary of the Company is currently prohibited,</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under any agreement or other instrument to which it is a party or is subject, (A) from paying any dividends to the Company, (B) from making any other distribution on such subsidiary’s capital stock, (C) from repaying to the Company any loans or advances to such subsidiary from the Company or (D) from transferring any such subsidiary’s material properties or assets to the Company or any other subsidiary of the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41910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 w:name="page13"/>
    <w:bookmarkEnd w:id="12"/>
    <w:p>
      <w:pPr>
        <w:ind w:firstLine="1305"/>
        <w:spacing w:after="0" w:line="275" w:lineRule="auto"/>
        <w:tabs>
          <w:tab w:leader="none" w:pos="2118"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Money Laundering Laws</w:t>
      </w:r>
      <w:r>
        <w:rPr>
          <w:rFonts w:ascii="Arial" w:cs="Arial" w:eastAsia="Arial" w:hAnsi="Arial"/>
          <w:sz w:val="19"/>
          <w:szCs w:val="19"/>
          <w:color w:val="auto"/>
        </w:rPr>
        <w:t>. The operations of the Company and its subsidiaries are and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conducted at all times in 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9"/>
          <w:szCs w:val="19"/>
          <w:b w:val="1"/>
          <w:bCs w:val="1"/>
          <w:color w:val="auto"/>
        </w:rPr>
        <w:t>Money Laundering Laws</w:t>
      </w:r>
      <w:r>
        <w:rPr>
          <w:rFonts w:ascii="Arial" w:cs="Arial" w:eastAsia="Arial" w:hAnsi="Arial"/>
          <w:sz w:val="19"/>
          <w:szCs w:val="19"/>
          <w:color w:val="auto"/>
        </w:rPr>
        <w:t>”); and no action, suit or proceeding by or before any Governmental Entity involving the Company or any of its subsidiaries with respect to the Money Laundering Laws is pending or, to the knowledge of the Company, threatened. “</w:t>
      </w:r>
      <w:r>
        <w:rPr>
          <w:rFonts w:ascii="Arial" w:cs="Arial" w:eastAsia="Arial" w:hAnsi="Arial"/>
          <w:sz w:val="19"/>
          <w:szCs w:val="19"/>
          <w:b w:val="1"/>
          <w:bCs w:val="1"/>
          <w:color w:val="auto"/>
        </w:rPr>
        <w:t>Governmental Entity</w:t>
      </w:r>
      <w:r>
        <w:rPr>
          <w:rFonts w:ascii="Arial" w:cs="Arial" w:eastAsia="Arial" w:hAnsi="Arial"/>
          <w:sz w:val="19"/>
          <w:szCs w:val="19"/>
          <w:color w:val="auto"/>
        </w:rPr>
        <w:t>” shall be defined as any arbitrator, court, governmental body, regulatory body, administrative agency or other authority, body or agency (whether foreign or domestic) having jurisdiction over the Company or any of its subsidiaries or any of their respective properties, assets or operations.</w:t>
      </w:r>
    </w:p>
    <w:p>
      <w:pPr>
        <w:spacing w:after="0" w:line="178" w:lineRule="exact"/>
        <w:rPr>
          <w:rFonts w:ascii="Arial" w:cs="Arial" w:eastAsia="Arial" w:hAnsi="Arial"/>
          <w:sz w:val="19"/>
          <w:szCs w:val="19"/>
          <w:color w:val="auto"/>
        </w:rPr>
      </w:pPr>
    </w:p>
    <w:p>
      <w:pPr>
        <w:ind w:firstLine="1305"/>
        <w:spacing w:after="0" w:line="274" w:lineRule="auto"/>
        <w:tabs>
          <w:tab w:leader="none" w:pos="2121"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Foreign Corrupt Practices Act</w:t>
      </w:r>
      <w:r>
        <w:rPr>
          <w:rFonts w:ascii="Arial" w:cs="Arial" w:eastAsia="Arial" w:hAnsi="Arial"/>
          <w:sz w:val="19"/>
          <w:szCs w:val="19"/>
          <w:color w:val="auto"/>
        </w:rPr>
        <w:t>. Neither the Company nor, any of its subsidiaries, or any director or</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of the Company or 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9"/>
          <w:szCs w:val="19"/>
          <w:b w:val="1"/>
          <w:bCs w:val="1"/>
          <w:color w:val="auto"/>
        </w:rPr>
        <w:t>FCPA</w:t>
      </w:r>
      <w:r>
        <w:rPr>
          <w:rFonts w:ascii="Arial" w:cs="Arial" w:eastAsia="Arial" w:hAnsi="Arial"/>
          <w:sz w:val="19"/>
          <w:szCs w:val="19"/>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promote continued compliance therewith.</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20" w:firstLine="1305"/>
        <w:spacing w:after="0" w:line="248" w:lineRule="auto"/>
        <w:tabs>
          <w:tab w:leader="none" w:pos="2143"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OFAC</w:t>
      </w:r>
      <w:r>
        <w:rPr>
          <w:rFonts w:ascii="Arial" w:cs="Arial" w:eastAsia="Arial" w:hAnsi="Arial"/>
          <w:sz w:val="21"/>
          <w:szCs w:val="21"/>
          <w:color w:val="auto"/>
        </w:rPr>
        <w:t>. Neither the Company nor any of its subsidiaries or any director or officer of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nor, to the knowledge of the Company, any employee, representative, agent or affiliate of the Company or any of its subsidiaries or any other person acting on behalf of the Company or any of its subsidiaries is currently subject to any U.S. sanctions administered by the Office of Foreign Assets Control of the U.S. Treasury Department (“</w:t>
      </w:r>
      <w:r>
        <w:rPr>
          <w:rFonts w:ascii="Arial" w:cs="Arial" w:eastAsia="Arial" w:hAnsi="Arial"/>
          <w:sz w:val="21"/>
          <w:szCs w:val="21"/>
          <w:b w:val="1"/>
          <w:bCs w:val="1"/>
          <w:color w:val="auto"/>
        </w:rPr>
        <w:t>OFAC</w:t>
      </w:r>
      <w:r>
        <w:rPr>
          <w:rFonts w:ascii="Arial" w:cs="Arial" w:eastAsia="Arial" w:hAnsi="Arial"/>
          <w:sz w:val="21"/>
          <w:szCs w:val="21"/>
          <w:color w:val="auto"/>
        </w:rPr>
        <w:t>”); and the Company will not directly or indirectly use the proceeds of the offering of the Offered Shares contemplated hereby, or lend, contribute or otherwise make available such proceeds to any person or entity, for the purpose of financing the activities of any person currently subject to any U.S. sanctions administered by OFAC.</w:t>
      </w:r>
    </w:p>
    <w:p>
      <w:pPr>
        <w:spacing w:after="0" w:line="198" w:lineRule="exact"/>
        <w:rPr>
          <w:rFonts w:ascii="Arial" w:cs="Arial" w:eastAsia="Arial" w:hAnsi="Arial"/>
          <w:sz w:val="21"/>
          <w:szCs w:val="21"/>
          <w:color w:val="auto"/>
        </w:rPr>
      </w:pPr>
    </w:p>
    <w:p>
      <w:pPr>
        <w:jc w:val="both"/>
        <w:ind w:right="100" w:firstLine="1305"/>
        <w:spacing w:after="0" w:line="335" w:lineRule="auto"/>
        <w:tabs>
          <w:tab w:leader="none" w:pos="2143"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Insurance</w:t>
      </w:r>
      <w:r>
        <w:rPr>
          <w:rFonts w:ascii="Arial" w:cs="Arial" w:eastAsia="Arial" w:hAnsi="Arial"/>
          <w:sz w:val="19"/>
          <w:szCs w:val="19"/>
          <w:color w:val="auto"/>
        </w:rPr>
        <w:t>. The Company and each of its subsidiaries carries, or is covered by, insurance in such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and covering such risks as is commercially reasonable and customary for the conduct of its business and the value of its properties.</w:t>
      </w:r>
    </w:p>
    <w:p>
      <w:pPr>
        <w:spacing w:after="0" w:line="119" w:lineRule="exact"/>
        <w:rPr>
          <w:rFonts w:ascii="Arial" w:cs="Arial" w:eastAsia="Arial" w:hAnsi="Arial"/>
          <w:sz w:val="19"/>
          <w:szCs w:val="19"/>
          <w:color w:val="auto"/>
        </w:rPr>
      </w:pPr>
    </w:p>
    <w:p>
      <w:pPr>
        <w:ind w:right="200" w:firstLine="1305"/>
        <w:spacing w:after="0" w:line="243" w:lineRule="auto"/>
        <w:tabs>
          <w:tab w:leader="none" w:pos="2101"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No Violation</w:t>
      </w:r>
      <w:r>
        <w:rPr>
          <w:rFonts w:ascii="Arial" w:cs="Arial" w:eastAsia="Arial" w:hAnsi="Arial"/>
          <w:sz w:val="22"/>
          <w:szCs w:val="22"/>
          <w:color w:val="auto"/>
        </w:rPr>
        <w:t>. Neither the Company nor any its subsidiaries nor, to the Company’s knowledge,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is in violation, breach or default of any Contract that has resulted in or could reasonably be expected to result in a Material Adverse Effect.</w:t>
      </w:r>
    </w:p>
    <w:p>
      <w:pPr>
        <w:spacing w:after="0" w:line="203" w:lineRule="exact"/>
        <w:rPr>
          <w:rFonts w:ascii="Arial" w:cs="Arial" w:eastAsia="Arial" w:hAnsi="Arial"/>
          <w:sz w:val="22"/>
          <w:szCs w:val="22"/>
          <w:color w:val="auto"/>
        </w:rPr>
      </w:pPr>
    </w:p>
    <w:p>
      <w:pPr>
        <w:jc w:val="both"/>
        <w:ind w:right="260" w:firstLine="1305"/>
        <w:spacing w:after="0" w:line="239" w:lineRule="auto"/>
        <w:tabs>
          <w:tab w:leader="none" w:pos="2101"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Continued Business</w:t>
      </w:r>
      <w:r>
        <w:rPr>
          <w:rFonts w:ascii="Arial" w:cs="Arial" w:eastAsia="Arial" w:hAnsi="Arial"/>
          <w:sz w:val="22"/>
          <w:szCs w:val="22"/>
          <w:color w:val="auto"/>
        </w:rPr>
        <w:t>. No supplier, customer, distributor or sales agent of the Company or any subsidiary</w:t>
      </w:r>
      <w:r>
        <w:rPr>
          <w:rFonts w:ascii="Arial" w:cs="Arial" w:eastAsia="Arial" w:hAnsi="Arial"/>
          <w:sz w:val="22"/>
          <w:szCs w:val="22"/>
          <w:b w:val="1"/>
          <w:bCs w:val="1"/>
          <w:color w:val="auto"/>
        </w:rPr>
        <w:t xml:space="preserve"> </w:t>
      </w:r>
      <w:r>
        <w:rPr>
          <w:rFonts w:ascii="Arial" w:cs="Arial" w:eastAsia="Arial" w:hAnsi="Arial"/>
          <w:sz w:val="22"/>
          <w:szCs w:val="22"/>
          <w:color w:val="auto"/>
        </w:rPr>
        <w:t>has notified the Company or any subsidiary in writing that it intends to discontinue or decrease the rate of business done with the Company or any subsidiary, except where such discontinuation or decrease has not resulted in and would not reasonably be expected to result in a Material Adverse Effect.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ind w:left="-20" w:right="40" w:firstLine="1305"/>
        <w:spacing w:after="0" w:line="237" w:lineRule="auto"/>
        <w:tabs>
          <w:tab w:leader="none" w:pos="2123"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No Finder’s Fee</w:t>
      </w:r>
      <w:r>
        <w:rPr>
          <w:rFonts w:ascii="Arial" w:cs="Arial" w:eastAsia="Arial" w:hAnsi="Arial"/>
          <w:sz w:val="22"/>
          <w:szCs w:val="22"/>
          <w:color w:val="auto"/>
        </w:rPr>
        <w:t>. There are no claims, payments, issuances, arrangements or understandings for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nature of a finder’s, consulting or origination fee with respect to the introduction of the Company to any Underwriter or the sale of the Offered Shares hereunder or any other arrangements, agreements, understandings, payments or issuances with respect to the Company that may affect the Underwriters’ compensation, as determined by the Financial Industry Regulatory Authority, Inc. (“</w:t>
      </w:r>
      <w:r>
        <w:rPr>
          <w:rFonts w:ascii="Arial" w:cs="Arial" w:eastAsia="Arial" w:hAnsi="Arial"/>
          <w:sz w:val="22"/>
          <w:szCs w:val="22"/>
          <w:b w:val="1"/>
          <w:bCs w:val="1"/>
          <w:color w:val="auto"/>
        </w:rPr>
        <w:t>FINRA</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jc w:val="both"/>
        <w:ind w:left="-20" w:right="200" w:firstLine="1305"/>
        <w:spacing w:after="0" w:line="254" w:lineRule="auto"/>
        <w:tabs>
          <w:tab w:leader="none" w:pos="2081" w:val="left"/>
        </w:tabs>
        <w:numPr>
          <w:ilvl w:val="0"/>
          <w:numId w:val="12"/>
        </w:numPr>
        <w:rPr>
          <w:rFonts w:ascii="Arial" w:cs="Arial" w:eastAsia="Arial" w:hAnsi="Arial"/>
          <w:sz w:val="21"/>
          <w:szCs w:val="21"/>
          <w:color w:val="auto"/>
        </w:rPr>
      </w:pPr>
      <w:r>
        <w:rPr>
          <w:rFonts w:ascii="Arial" w:cs="Arial" w:eastAsia="Arial" w:hAnsi="Arial"/>
          <w:sz w:val="21"/>
          <w:szCs w:val="21"/>
          <w:b w:val="1"/>
          <w:bCs w:val="1"/>
          <w:color w:val="auto"/>
        </w:rPr>
        <w:t>Statistical and Market Related Data</w:t>
      </w:r>
      <w:r>
        <w:rPr>
          <w:rFonts w:ascii="Arial" w:cs="Arial" w:eastAsia="Arial" w:hAnsi="Arial"/>
          <w:sz w:val="21"/>
          <w:szCs w:val="21"/>
          <w:color w:val="auto"/>
        </w:rPr>
        <w:t>. Any third-party statistical and market-related data included in a</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Statement, the Time of Sale Prospectus, the Prospectus or any Testing-the-Waters Communications are based on or derived from sources that the Company believes to be reliable and accurate in all material respects and, to the extent required, the Company has obtained the written consent to the use of such data from such sources.</w:t>
      </w:r>
    </w:p>
    <w:p>
      <w:pPr>
        <w:spacing w:after="0" w:line="193" w:lineRule="exact"/>
        <w:rPr>
          <w:rFonts w:ascii="Arial" w:cs="Arial" w:eastAsia="Arial" w:hAnsi="Arial"/>
          <w:sz w:val="21"/>
          <w:szCs w:val="21"/>
          <w:color w:val="auto"/>
        </w:rPr>
      </w:pPr>
    </w:p>
    <w:p>
      <w:pPr>
        <w:ind w:left="-20" w:firstLine="1305"/>
        <w:spacing w:after="0" w:line="236" w:lineRule="auto"/>
        <w:tabs>
          <w:tab w:leader="none" w:pos="2135"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 xml:space="preserve">No Fees. </w:t>
      </w:r>
      <w:r>
        <w:rPr>
          <w:rFonts w:ascii="Arial" w:cs="Arial" w:eastAsia="Arial" w:hAnsi="Arial"/>
          <w:sz w:val="22"/>
          <w:szCs w:val="22"/>
          <w:color w:val="auto"/>
        </w:rPr>
        <w:t>Except as disclosed to the Representative in writing, the Company has not made any direct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 payments (in cash, securities or otherwise) to (A) any person, as a finder’s fee, investing fee or otherwise, in consideration of such person raising capital for the Company or introducing to the Company persons who provided capital to the Company; (B) any FINRA member; or (C) any person or entity that has any direct or indirect affiliation or association with any FINRA member within the 12-month period prior to the date on which the Registration Statement was filed with the Commission (“</w:t>
      </w:r>
      <w:r>
        <w:rPr>
          <w:rFonts w:ascii="Arial" w:cs="Arial" w:eastAsia="Arial" w:hAnsi="Arial"/>
          <w:sz w:val="22"/>
          <w:szCs w:val="22"/>
          <w:b w:val="1"/>
          <w:bCs w:val="1"/>
          <w:color w:val="auto"/>
        </w:rPr>
        <w:t>Filing Date</w:t>
      </w:r>
      <w:r>
        <w:rPr>
          <w:rFonts w:ascii="Arial" w:cs="Arial" w:eastAsia="Arial" w:hAnsi="Arial"/>
          <w:sz w:val="22"/>
          <w:szCs w:val="22"/>
          <w:color w:val="auto"/>
        </w:rPr>
        <w:t>”) or thereafter.</w:t>
      </w:r>
    </w:p>
    <w:p>
      <w:pPr>
        <w:spacing w:after="0" w:line="209" w:lineRule="exact"/>
        <w:rPr>
          <w:rFonts w:ascii="Arial" w:cs="Arial" w:eastAsia="Arial" w:hAnsi="Arial"/>
          <w:sz w:val="22"/>
          <w:szCs w:val="22"/>
          <w:color w:val="auto"/>
        </w:rPr>
      </w:pPr>
    </w:p>
    <w:p>
      <w:pPr>
        <w:ind w:left="-20" w:right="320" w:firstLine="1305"/>
        <w:spacing w:after="0" w:line="243" w:lineRule="auto"/>
        <w:tabs>
          <w:tab w:leader="none" w:pos="2123"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Proceeds</w:t>
      </w:r>
      <w:r>
        <w:rPr>
          <w:rFonts w:ascii="Arial" w:cs="Arial" w:eastAsia="Arial" w:hAnsi="Arial"/>
          <w:sz w:val="22"/>
          <w:szCs w:val="22"/>
          <w:color w:val="auto"/>
        </w:rPr>
        <w:t>. None of the net proceeds of the offering contemplated by this Agreement will be paid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any participating FINRA member or any affiliate or associate of any participating FINRA member, except as specifically authorized herein.</w:t>
      </w:r>
    </w:p>
    <w:p>
      <w:pPr>
        <w:spacing w:after="0" w:line="203" w:lineRule="exact"/>
        <w:rPr>
          <w:rFonts w:ascii="Arial" w:cs="Arial" w:eastAsia="Arial" w:hAnsi="Arial"/>
          <w:sz w:val="22"/>
          <w:szCs w:val="22"/>
          <w:color w:val="auto"/>
        </w:rPr>
      </w:pPr>
    </w:p>
    <w:p>
      <w:pPr>
        <w:ind w:left="-20" w:right="80" w:firstLine="1305"/>
        <w:spacing w:after="0" w:line="248" w:lineRule="auto"/>
        <w:tabs>
          <w:tab w:leader="none" w:pos="2123" w:val="left"/>
        </w:tabs>
        <w:numPr>
          <w:ilvl w:val="0"/>
          <w:numId w:val="12"/>
        </w:numPr>
        <w:rPr>
          <w:rFonts w:ascii="Arial" w:cs="Arial" w:eastAsia="Arial" w:hAnsi="Arial"/>
          <w:sz w:val="21"/>
          <w:szCs w:val="21"/>
          <w:color w:val="auto"/>
        </w:rPr>
      </w:pPr>
      <w:r>
        <w:rPr>
          <w:rFonts w:ascii="Arial" w:cs="Arial" w:eastAsia="Arial" w:hAnsi="Arial"/>
          <w:sz w:val="21"/>
          <w:szCs w:val="21"/>
          <w:b w:val="1"/>
          <w:bCs w:val="1"/>
          <w:color w:val="auto"/>
        </w:rPr>
        <w:t>No FINRA Affiliations</w:t>
      </w:r>
      <w:r>
        <w:rPr>
          <w:rFonts w:ascii="Arial" w:cs="Arial" w:eastAsia="Arial" w:hAnsi="Arial"/>
          <w:sz w:val="21"/>
          <w:szCs w:val="21"/>
          <w:color w:val="auto"/>
        </w:rPr>
        <w:t>. Except as disclosed to the Representative in writing, to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no (A) officer or director of the Company or its subsidiaries; (B) owner of 5% or more of any class of the Company’s securities; or (C) owner of any amount of the Company’s unregistered equity securities acquired within the 180-day period prior to the Filing Date, has any direct or indirect affiliation or association with any FINRA member. The Company will advise the Representative if it becomes aware that any officer, director of the Company or its subsidiaries or any owner of 5% or more of any class of the Company’s equity securities is or becomes an affiliate or associated person of a FINRA member participating in the offering contemplated by this Agreement.</w:t>
      </w:r>
    </w:p>
    <w:p>
      <w:pPr>
        <w:spacing w:after="0" w:line="198" w:lineRule="exact"/>
        <w:rPr>
          <w:rFonts w:ascii="Arial" w:cs="Arial" w:eastAsia="Arial" w:hAnsi="Arial"/>
          <w:sz w:val="21"/>
          <w:szCs w:val="21"/>
          <w:color w:val="auto"/>
        </w:rPr>
      </w:pPr>
    </w:p>
    <w:p>
      <w:pPr>
        <w:ind w:left="-20" w:right="120" w:firstLine="1305"/>
        <w:spacing w:after="0" w:line="256" w:lineRule="auto"/>
        <w:tabs>
          <w:tab w:leader="none" w:pos="2123"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No Financial Advisor</w:t>
      </w:r>
      <w:r>
        <w:rPr>
          <w:rFonts w:ascii="Arial" w:cs="Arial" w:eastAsia="Arial" w:hAnsi="Arial"/>
          <w:sz w:val="22"/>
          <w:szCs w:val="22"/>
          <w:color w:val="auto"/>
        </w:rPr>
        <w:t>. Other than the Underwriters, no person has the right to act as an underwriter or as</w:t>
      </w:r>
      <w:r>
        <w:rPr>
          <w:rFonts w:ascii="Arial" w:cs="Arial" w:eastAsia="Arial" w:hAnsi="Arial"/>
          <w:sz w:val="22"/>
          <w:szCs w:val="22"/>
          <w:b w:val="1"/>
          <w:bCs w:val="1"/>
          <w:color w:val="auto"/>
        </w:rPr>
        <w:t xml:space="preserve"> </w:t>
      </w:r>
      <w:r>
        <w:rPr>
          <w:rFonts w:ascii="Arial" w:cs="Arial" w:eastAsia="Arial" w:hAnsi="Arial"/>
          <w:sz w:val="22"/>
          <w:szCs w:val="22"/>
          <w:color w:val="auto"/>
        </w:rPr>
        <w:t>a financial advisor to the Company in connection with the transactions contemplated hereby.</w:t>
      </w:r>
    </w:p>
    <w:p>
      <w:pPr>
        <w:spacing w:after="0" w:line="189" w:lineRule="exact"/>
        <w:rPr>
          <w:rFonts w:ascii="Arial" w:cs="Arial" w:eastAsia="Arial" w:hAnsi="Arial"/>
          <w:sz w:val="22"/>
          <w:szCs w:val="22"/>
          <w:color w:val="auto"/>
        </w:rPr>
      </w:pPr>
    </w:p>
    <w:p>
      <w:pPr>
        <w:ind w:left="-20" w:right="20" w:firstLine="1305"/>
        <w:spacing w:after="0" w:line="249" w:lineRule="auto"/>
        <w:tabs>
          <w:tab w:leader="none" w:pos="2123" w:val="left"/>
        </w:tabs>
        <w:numPr>
          <w:ilvl w:val="0"/>
          <w:numId w:val="12"/>
        </w:numPr>
        <w:rPr>
          <w:rFonts w:ascii="Arial" w:cs="Arial" w:eastAsia="Arial" w:hAnsi="Arial"/>
          <w:sz w:val="21"/>
          <w:szCs w:val="21"/>
          <w:color w:val="auto"/>
        </w:rPr>
      </w:pPr>
      <w:r>
        <w:rPr>
          <w:rFonts w:ascii="Arial" w:cs="Arial" w:eastAsia="Arial" w:hAnsi="Arial"/>
          <w:sz w:val="21"/>
          <w:szCs w:val="21"/>
          <w:b w:val="1"/>
          <w:bCs w:val="1"/>
          <w:color w:val="auto"/>
        </w:rPr>
        <w:t>Certain Statements</w:t>
      </w:r>
      <w:r>
        <w:rPr>
          <w:rFonts w:ascii="Arial" w:cs="Arial" w:eastAsia="Arial" w:hAnsi="Arial"/>
          <w:sz w:val="21"/>
          <w:szCs w:val="21"/>
          <w:color w:val="auto"/>
        </w:rPr>
        <w:t>. The statements set forth in the Registration Statement, the Time of Sale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Prospectus under the captions “Description of Capital Stock” and “Material U.S. Federal Income Tax Considerations,” insofar as they purport to describe the provisions of the laws and documents referred to therein, are accurate, complete and fair in all material respects, and under the caption “Description of Capital Stock” insofar as they purport to constitute a summary of (A) the terms of the Company’s outstanding securities; (B) the terms of the Offered Shares; and (C) the terms of the documents referred to therein, are accurate, complete and fair in all material respects.</w:t>
      </w:r>
    </w:p>
    <w:p>
      <w:pPr>
        <w:spacing w:after="0" w:line="198" w:lineRule="exact"/>
        <w:rPr>
          <w:rFonts w:ascii="Arial" w:cs="Arial" w:eastAsia="Arial" w:hAnsi="Arial"/>
          <w:sz w:val="21"/>
          <w:szCs w:val="21"/>
          <w:color w:val="auto"/>
        </w:rPr>
      </w:pPr>
    </w:p>
    <w:p>
      <w:pPr>
        <w:ind w:left="-20" w:right="60" w:firstLine="1305"/>
        <w:spacing w:after="0" w:line="280" w:lineRule="auto"/>
        <w:tabs>
          <w:tab w:leader="none" w:pos="2105"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No Registration Rights</w:t>
      </w:r>
      <w:r>
        <w:rPr>
          <w:rFonts w:ascii="Arial" w:cs="Arial" w:eastAsia="Arial" w:hAnsi="Arial"/>
          <w:sz w:val="19"/>
          <w:szCs w:val="19"/>
          <w:color w:val="auto"/>
        </w:rPr>
        <w:t>. Except as described in the Registration Statement, the Time of Sale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Prospectus, there are no contracts, agreements or understandings between the Company and any person granting such person the right (other than rights which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2" w:right="259" w:bottom="1440" w:gutter="0" w:footer="0" w:header="0"/>
        </w:sectPr>
      </w:pPr>
    </w:p>
    <w:bookmarkStart w:id="14" w:name="page15"/>
    <w:bookmarkEnd w:id="14"/>
    <w:p>
      <w:pPr>
        <w:ind w:right="100" w:firstLine="1305"/>
        <w:spacing w:after="0" w:line="284" w:lineRule="auto"/>
        <w:tabs>
          <w:tab w:leader="none" w:pos="2149"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Prior Sales of Securities</w:t>
      </w:r>
      <w:r>
        <w:rPr>
          <w:rFonts w:ascii="Arial" w:cs="Arial" w:eastAsia="Arial" w:hAnsi="Arial"/>
          <w:sz w:val="19"/>
          <w:szCs w:val="19"/>
          <w:color w:val="auto"/>
        </w:rPr>
        <w:t>. Except as set forth in the Registration Statement, the Time of Sale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Prospectus, the Company has not sold or issued any shares of common stock during the six-month period preceding the date hereof, including any sales pursuant to Rule 144A under, or Regulations D or S of, the Securities Act, other than shares issued pursuant to employee benefit plans, stock option plans or other employee compensation plans or pursuant to outstanding preferred stock, options, rights or warrants or other outstanding convertible securities.</w:t>
      </w:r>
    </w:p>
    <w:p>
      <w:pPr>
        <w:spacing w:after="0" w:line="166" w:lineRule="exact"/>
        <w:rPr>
          <w:rFonts w:ascii="Arial" w:cs="Arial" w:eastAsia="Arial" w:hAnsi="Arial"/>
          <w:sz w:val="19"/>
          <w:szCs w:val="19"/>
          <w:color w:val="auto"/>
        </w:rPr>
      </w:pPr>
    </w:p>
    <w:p>
      <w:pPr>
        <w:jc w:val="both"/>
        <w:ind w:right="180" w:firstLine="1305"/>
        <w:spacing w:after="0" w:line="275" w:lineRule="auto"/>
        <w:tabs>
          <w:tab w:leader="none" w:pos="2101"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PRC Subsidiaries. </w:t>
      </w:r>
      <w:r>
        <w:rPr>
          <w:rFonts w:ascii="Arial" w:cs="Arial" w:eastAsia="Arial" w:hAnsi="Arial"/>
          <w:sz w:val="19"/>
          <w:szCs w:val="19"/>
          <w:color w:val="auto"/>
        </w:rPr>
        <w:t>Since January 1, 2015, the Company has conducted substantially all of its operations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generated substantially all of its revenue through (i) ACM Research (Shanghai), Inc., (“</w:t>
      </w:r>
      <w:r>
        <w:rPr>
          <w:rFonts w:ascii="Arial" w:cs="Arial" w:eastAsia="Arial" w:hAnsi="Arial"/>
          <w:sz w:val="19"/>
          <w:szCs w:val="19"/>
          <w:b w:val="1"/>
          <w:bCs w:val="1"/>
          <w:color w:val="auto"/>
        </w:rPr>
        <w:t>ACM Shanghai</w:t>
      </w:r>
      <w:r>
        <w:rPr>
          <w:rFonts w:ascii="Arial" w:cs="Arial" w:eastAsia="Arial" w:hAnsi="Arial"/>
          <w:sz w:val="19"/>
          <w:szCs w:val="19"/>
          <w:color w:val="auto"/>
        </w:rPr>
        <w:t>”) a majority foreign-owned enterprise formed under the laws of the People’s Republic of China (the “</w:t>
      </w:r>
      <w:r>
        <w:rPr>
          <w:rFonts w:ascii="Arial" w:cs="Arial" w:eastAsia="Arial" w:hAnsi="Arial"/>
          <w:sz w:val="19"/>
          <w:szCs w:val="19"/>
          <w:b w:val="1"/>
          <w:bCs w:val="1"/>
          <w:color w:val="auto"/>
        </w:rPr>
        <w:t>PRC</w:t>
      </w:r>
      <w:r>
        <w:rPr>
          <w:rFonts w:ascii="Arial" w:cs="Arial" w:eastAsia="Arial" w:hAnsi="Arial"/>
          <w:sz w:val="19"/>
          <w:szCs w:val="19"/>
          <w:color w:val="auto"/>
        </w:rPr>
        <w:t>”) and (ii) ACM Research (Wuxi), Inc.</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(together with ACM Shanghai, the “</w:t>
      </w:r>
      <w:r>
        <w:rPr>
          <w:rFonts w:ascii="Arial" w:cs="Arial" w:eastAsia="Arial" w:hAnsi="Arial"/>
          <w:sz w:val="22"/>
          <w:szCs w:val="22"/>
          <w:b w:val="1"/>
          <w:bCs w:val="1"/>
          <w:color w:val="auto"/>
        </w:rPr>
        <w:t>PRC Subsidiaries</w:t>
      </w:r>
      <w:r>
        <w:rPr>
          <w:rFonts w:ascii="Arial" w:cs="Arial" w:eastAsia="Arial" w:hAnsi="Arial"/>
          <w:sz w:val="22"/>
          <w:szCs w:val="22"/>
          <w:color w:val="auto"/>
        </w:rPr>
        <w:t>” or each, a “</w:t>
      </w:r>
      <w:r>
        <w:rPr>
          <w:rFonts w:ascii="Arial" w:cs="Arial" w:eastAsia="Arial" w:hAnsi="Arial"/>
          <w:sz w:val="22"/>
          <w:szCs w:val="22"/>
          <w:b w:val="1"/>
          <w:bCs w:val="1"/>
          <w:color w:val="auto"/>
        </w:rPr>
        <w:t>PRC Subsidiary</w:t>
      </w:r>
      <w:r>
        <w:rPr>
          <w:rFonts w:ascii="Arial" w:cs="Arial" w:eastAsia="Arial" w:hAnsi="Arial"/>
          <w:sz w:val="22"/>
          <w:szCs w:val="22"/>
          <w:color w:val="auto"/>
        </w:rPr>
        <w:t>”).</w:t>
      </w:r>
    </w:p>
    <w:p>
      <w:pPr>
        <w:spacing w:after="0" w:line="209" w:lineRule="exact"/>
        <w:rPr>
          <w:rFonts w:ascii="Arial" w:cs="Arial" w:eastAsia="Arial" w:hAnsi="Arial"/>
          <w:sz w:val="19"/>
          <w:szCs w:val="19"/>
          <w:color w:val="auto"/>
        </w:rPr>
      </w:pPr>
    </w:p>
    <w:p>
      <w:pPr>
        <w:ind w:right="40" w:firstLine="1305"/>
        <w:spacing w:after="0" w:line="270" w:lineRule="auto"/>
        <w:tabs>
          <w:tab w:leader="none" w:pos="2143"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PRC Subsidiary Corporate Power; Establishment Documents. </w:t>
      </w:r>
      <w:r>
        <w:rPr>
          <w:rFonts w:ascii="Arial" w:cs="Arial" w:eastAsia="Arial" w:hAnsi="Arial"/>
          <w:sz w:val="19"/>
          <w:szCs w:val="19"/>
          <w:color w:val="auto"/>
        </w:rPr>
        <w:t>Each PRC Subsidiary has been duly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is validly existing as a company in good standing under the laws of the PRC, has the corporate power and authority to own, lease and operate its property and to conduct its business as described in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Each PRC Subsidiary has applied for and obtained all requisite business licenses and permits required under PRC law as necessary for the conduct of its businesses, and all such permits are validly subsisting, in each case except where the failure to have applied for or obtained such licenses, clearances or permits is not reasonably likely to result in a Material Adverse Effect. Each PRC Subsidiary has complied with all PRC laws, including carrying out all relevant filings, registrations and applications for relevant permits with the PRC State Administration of Foreign Exchange and any other relevant authorities, except where the failure to comply is not reasonably likely to result in a Material Adverse Effect. The registered capital of each PRC Subsidiary has been fully paid up in accordance with the schedule of payment stipulated in its respective articles of association, approval document, certificate of approval and legal person business license (hereinafter referred to as the “</w:t>
      </w:r>
      <w:r>
        <w:rPr>
          <w:rFonts w:ascii="Arial" w:cs="Arial" w:eastAsia="Arial" w:hAnsi="Arial"/>
          <w:sz w:val="19"/>
          <w:szCs w:val="19"/>
          <w:b w:val="1"/>
          <w:bCs w:val="1"/>
          <w:color w:val="auto"/>
        </w:rPr>
        <w:t>Establishment Documents</w:t>
      </w:r>
      <w:r>
        <w:rPr>
          <w:rFonts w:ascii="Arial" w:cs="Arial" w:eastAsia="Arial" w:hAnsi="Arial"/>
          <w:sz w:val="19"/>
          <w:szCs w:val="19"/>
          <w:color w:val="auto"/>
        </w:rPr>
        <w:t>”) and in compliance in all material respects with PRC laws and regulations, and there is no outstanding capital contribution commitment for any PRC Subsidiary. The Establishment Documents of the PRC Subsidiaries have been duly approved in accordance with the laws of the PRC and are valid and enforceable. The business scope specified in the Establishment Documents of each PRC Subsidiary complies in all material respects with the requirements of all relevant PRC laws and regulations. The equity interests of each PRC Subsidiary are owned of record by the respective entities identified as the registered holders thereof in the Registration Statement, the Time of Sale Prospectus and the Prospectus.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right="60" w:firstLine="1305"/>
        <w:spacing w:after="0" w:line="254" w:lineRule="auto"/>
        <w:tabs>
          <w:tab w:leader="none" w:pos="2143" w:val="left"/>
        </w:tabs>
        <w:numPr>
          <w:ilvl w:val="0"/>
          <w:numId w:val="13"/>
        </w:numPr>
        <w:rPr>
          <w:rFonts w:ascii="Arial" w:cs="Arial" w:eastAsia="Arial" w:hAnsi="Arial"/>
          <w:sz w:val="21"/>
          <w:szCs w:val="21"/>
          <w:color w:val="auto"/>
        </w:rPr>
      </w:pPr>
      <w:r>
        <w:rPr>
          <w:rFonts w:ascii="Arial" w:cs="Arial" w:eastAsia="Arial" w:hAnsi="Arial"/>
          <w:sz w:val="21"/>
          <w:szCs w:val="21"/>
          <w:b w:val="1"/>
          <w:bCs w:val="1"/>
          <w:color w:val="auto"/>
        </w:rPr>
        <w:t xml:space="preserve">No Immunity. </w:t>
      </w:r>
      <w:r>
        <w:rPr>
          <w:rFonts w:ascii="Arial" w:cs="Arial" w:eastAsia="Arial" w:hAnsi="Arial"/>
          <w:sz w:val="21"/>
          <w:szCs w:val="21"/>
          <w:color w:val="auto"/>
        </w:rPr>
        <w:t>None of the PRC Subsidiaries nor any of their properties, assets or revenues are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any right of immunity on the grounds of sovereignty from any legal action, suit or proceeding, from set-off or counterclaim, from the jurisdiction of any court, from services of process, from attachment prior to or in aid of execution of judgment, or from any other legal process or proceeding for the giving of any relief or for the enforcement of any judgment.</w:t>
      </w:r>
    </w:p>
    <w:p>
      <w:pPr>
        <w:spacing w:after="0" w:line="193" w:lineRule="exact"/>
        <w:rPr>
          <w:rFonts w:ascii="Arial" w:cs="Arial" w:eastAsia="Arial" w:hAnsi="Arial"/>
          <w:sz w:val="21"/>
          <w:szCs w:val="21"/>
          <w:color w:val="auto"/>
        </w:rPr>
      </w:pPr>
    </w:p>
    <w:p>
      <w:pPr>
        <w:ind w:firstLine="1305"/>
        <w:spacing w:after="0" w:line="243" w:lineRule="auto"/>
        <w:tabs>
          <w:tab w:leader="none" w:pos="2131"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No PRC Filings. </w:t>
      </w:r>
      <w:r>
        <w:rPr>
          <w:rFonts w:ascii="Arial" w:cs="Arial" w:eastAsia="Arial" w:hAnsi="Arial"/>
          <w:sz w:val="22"/>
          <w:szCs w:val="22"/>
          <w:color w:val="auto"/>
        </w:rPr>
        <w:t>It is not necessary that this Agreement, the Registration Statement, the Time of Sale</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Prospectus, the Prospectus or any other document be filed or recorded with any governmental agency, court or other authority in the PRC.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ind w:left="-40" w:firstLine="1305"/>
        <w:spacing w:after="0" w:line="251" w:lineRule="auto"/>
        <w:tabs>
          <w:tab w:leader="none" w:pos="2103"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No PRC Taxes. </w:t>
      </w:r>
      <w:r>
        <w:rPr>
          <w:rFonts w:ascii="Arial" w:cs="Arial" w:eastAsia="Arial" w:hAnsi="Arial"/>
          <w:sz w:val="21"/>
          <w:szCs w:val="21"/>
          <w:color w:val="auto"/>
        </w:rPr>
        <w:t>No transaction, stamp, capital or other issuance, registration, transaction, transfer or</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 taxes or duties are payable in the PRC by or on behalf of the Underwriters to any PRC taxing authority in connection with (A) the issuance, sale and delivery of the Offered Shares by the Company and the delivery of the Offered Shares to or for the account of the Underwriters; (B) the purchase from the Company and the initial sale and delivery by the Underwriters of the Shares to purchasers thereof; or (C) the execution and delivery of this Agreement.</w:t>
      </w:r>
    </w:p>
    <w:p>
      <w:pPr>
        <w:spacing w:after="0" w:line="196" w:lineRule="exact"/>
        <w:rPr>
          <w:rFonts w:ascii="Arial" w:cs="Arial" w:eastAsia="Arial" w:hAnsi="Arial"/>
          <w:sz w:val="21"/>
          <w:szCs w:val="21"/>
          <w:color w:val="auto"/>
        </w:rPr>
      </w:pPr>
    </w:p>
    <w:p>
      <w:pPr>
        <w:ind w:left="-40" w:right="80" w:firstLine="1305"/>
        <w:spacing w:after="0" w:line="245" w:lineRule="auto"/>
        <w:tabs>
          <w:tab w:leader="none" w:pos="2103"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 xml:space="preserve">Advice in Connection with M&amp;A Rules. </w:t>
      </w:r>
      <w:r>
        <w:rPr>
          <w:rFonts w:ascii="Arial" w:cs="Arial" w:eastAsia="Arial" w:hAnsi="Arial"/>
          <w:sz w:val="21"/>
          <w:szCs w:val="21"/>
          <w:color w:val="auto"/>
        </w:rPr>
        <w:t>The Company is aware of, and has been advised as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content of the Rules on Mergers and Acquisitions of Domestic Enterprises by Foreign Investors jointly promulgated on August 8, 2006, as amended on June 22, 2009, by the PRC Ministry of Commerce, the PRC State Assets Supervision and Administration Commission, the PRC State Administration of Taxation, the PRC State Administration of Industry and Commerce, the China Securities Regulatory Commission (“</w:t>
      </w:r>
      <w:r>
        <w:rPr>
          <w:rFonts w:ascii="Arial" w:cs="Arial" w:eastAsia="Arial" w:hAnsi="Arial"/>
          <w:sz w:val="21"/>
          <w:szCs w:val="21"/>
          <w:b w:val="1"/>
          <w:bCs w:val="1"/>
          <w:color w:val="auto"/>
        </w:rPr>
        <w:t>CSRC</w:t>
      </w:r>
      <w:r>
        <w:rPr>
          <w:rFonts w:ascii="Arial" w:cs="Arial" w:eastAsia="Arial" w:hAnsi="Arial"/>
          <w:sz w:val="21"/>
          <w:szCs w:val="21"/>
          <w:color w:val="auto"/>
        </w:rPr>
        <w:t>”) and the PRC State Administration of Foreign Exchange of the PRC (the “</w:t>
      </w:r>
      <w:r>
        <w:rPr>
          <w:rFonts w:ascii="Arial" w:cs="Arial" w:eastAsia="Arial" w:hAnsi="Arial"/>
          <w:sz w:val="21"/>
          <w:szCs w:val="21"/>
          <w:b w:val="1"/>
          <w:bCs w:val="1"/>
          <w:color w:val="auto"/>
        </w:rPr>
        <w:t>M&amp;A</w:t>
      </w:r>
      <w:r>
        <w:rPr>
          <w:rFonts w:ascii="Arial" w:cs="Arial" w:eastAsia="Arial" w:hAnsi="Arial"/>
          <w:sz w:val="21"/>
          <w:szCs w:val="21"/>
          <w:color w:val="auto"/>
        </w:rPr>
        <w:t xml:space="preserve"> </w:t>
      </w:r>
      <w:r>
        <w:rPr>
          <w:rFonts w:ascii="Arial" w:cs="Arial" w:eastAsia="Arial" w:hAnsi="Arial"/>
          <w:sz w:val="21"/>
          <w:szCs w:val="21"/>
          <w:b w:val="1"/>
          <w:bCs w:val="1"/>
          <w:color w:val="auto"/>
        </w:rPr>
        <w:t>Rules</w:t>
      </w:r>
      <w:r>
        <w:rPr>
          <w:rFonts w:ascii="Arial" w:cs="Arial" w:eastAsia="Arial" w:hAnsi="Arial"/>
          <w:sz w:val="21"/>
          <w:szCs w:val="21"/>
          <w:color w:val="auto"/>
        </w:rPr>
        <w:t>”), in particular the relevant provisions thereof that purport to require offshore special purpose vehicles controlled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by PRC-incorporated companies or PRC residents and established for the purpose of obtaining a stock exchange listing outside of the PRC to obtain the approval of the CSRC prior to the listing and trading of their securities on any stock exchange located outside of the PRC. The Company has received legal advice specifically with respect to the M&amp;A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w:t>
      </w:r>
    </w:p>
    <w:p>
      <w:pPr>
        <w:spacing w:after="0" w:line="202" w:lineRule="exact"/>
        <w:rPr>
          <w:rFonts w:ascii="Arial" w:cs="Arial" w:eastAsia="Arial" w:hAnsi="Arial"/>
          <w:sz w:val="21"/>
          <w:szCs w:val="21"/>
          <w:color w:val="auto"/>
        </w:rPr>
      </w:pPr>
    </w:p>
    <w:p>
      <w:pPr>
        <w:ind w:left="-40" w:right="140" w:firstLine="1305"/>
        <w:spacing w:after="0" w:line="236" w:lineRule="auto"/>
        <w:tabs>
          <w:tab w:leader="none" w:pos="2078"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M&amp;A Rules and Related Clarifications. </w:t>
      </w:r>
      <w:r>
        <w:rPr>
          <w:rFonts w:ascii="Arial" w:cs="Arial" w:eastAsia="Arial" w:hAnsi="Arial"/>
          <w:sz w:val="22"/>
          <w:szCs w:val="22"/>
          <w:color w:val="auto"/>
        </w:rPr>
        <w:t>The issuance and sale of the Offered Shares, the listing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trading of the Offered Shares on Nasdaq and the consummation of the transactions contemplated by this Agreement, the Registration Statement, the Time of Sale Prospectus and the Prospectus are not and will not be, as of the date hereof and on the Closing Date, adversely affected in any material respect by the M&amp;A Rules or any official clarifications, guidance, interpretations or implementation rules in connection with or related to the M&amp;A Rules (together with the M&amp;A Rules, the “</w:t>
      </w:r>
      <w:r>
        <w:rPr>
          <w:rFonts w:ascii="Arial" w:cs="Arial" w:eastAsia="Arial" w:hAnsi="Arial"/>
          <w:sz w:val="22"/>
          <w:szCs w:val="22"/>
          <w:b w:val="1"/>
          <w:bCs w:val="1"/>
          <w:color w:val="auto"/>
        </w:rPr>
        <w:t>M&amp;A Rules and</w:t>
      </w:r>
      <w:r>
        <w:rPr>
          <w:rFonts w:ascii="Arial" w:cs="Arial" w:eastAsia="Arial" w:hAnsi="Arial"/>
          <w:sz w:val="22"/>
          <w:szCs w:val="22"/>
          <w:color w:val="auto"/>
        </w:rPr>
        <w:t xml:space="preserve"> </w:t>
      </w:r>
      <w:r>
        <w:rPr>
          <w:rFonts w:ascii="Arial" w:cs="Arial" w:eastAsia="Arial" w:hAnsi="Arial"/>
          <w:sz w:val="22"/>
          <w:szCs w:val="22"/>
          <w:b w:val="1"/>
          <w:bCs w:val="1"/>
          <w:color w:val="auto"/>
        </w:rPr>
        <w:t>Related Clarifications</w:t>
      </w:r>
      <w:r>
        <w:rPr>
          <w:rFonts w:ascii="Arial" w:cs="Arial" w:eastAsia="Arial" w:hAnsi="Arial"/>
          <w:sz w:val="22"/>
          <w:szCs w:val="22"/>
          <w:color w:val="auto"/>
        </w:rPr>
        <w:t>”).</w:t>
      </w:r>
    </w:p>
    <w:p>
      <w:pPr>
        <w:spacing w:after="0" w:line="209" w:lineRule="exact"/>
        <w:rPr>
          <w:sz w:val="20"/>
          <w:szCs w:val="20"/>
          <w:color w:val="auto"/>
        </w:rPr>
      </w:pPr>
    </w:p>
    <w:p>
      <w:pPr>
        <w:ind w:left="-40" w:right="20" w:firstLine="1305"/>
        <w:spacing w:after="0" w:line="246" w:lineRule="auto"/>
        <w:tabs>
          <w:tab w:leader="none" w:pos="2066" w:val="left"/>
        </w:tabs>
        <w:numPr>
          <w:ilvl w:val="0"/>
          <w:numId w:val="15"/>
        </w:numPr>
        <w:rPr>
          <w:rFonts w:ascii="Arial" w:cs="Arial" w:eastAsia="Arial" w:hAnsi="Arial"/>
          <w:sz w:val="21"/>
          <w:szCs w:val="21"/>
          <w:color w:val="auto"/>
        </w:rPr>
      </w:pPr>
      <w:r>
        <w:rPr>
          <w:rFonts w:ascii="Arial" w:cs="Arial" w:eastAsia="Arial" w:hAnsi="Arial"/>
          <w:sz w:val="21"/>
          <w:szCs w:val="21"/>
          <w:b w:val="1"/>
          <w:bCs w:val="1"/>
          <w:color w:val="auto"/>
        </w:rPr>
        <w:t>PRC Overseas Investment and Listing Regulations</w:t>
      </w:r>
      <w:r>
        <w:rPr>
          <w:rFonts w:ascii="Arial" w:cs="Arial" w:eastAsia="Arial" w:hAnsi="Arial"/>
          <w:sz w:val="21"/>
          <w:szCs w:val="21"/>
          <w:color w:val="auto"/>
        </w:rPr>
        <w:t>. The Company has taken all reasonably necessary</w:t>
      </w:r>
      <w:r>
        <w:rPr>
          <w:rFonts w:ascii="Arial" w:cs="Arial" w:eastAsia="Arial" w:hAnsi="Arial"/>
          <w:sz w:val="21"/>
          <w:szCs w:val="21"/>
          <w:b w:val="1"/>
          <w:bCs w:val="1"/>
          <w:color w:val="auto"/>
        </w:rPr>
        <w:t xml:space="preserve"> </w:t>
      </w:r>
      <w:r>
        <w:rPr>
          <w:rFonts w:ascii="Arial" w:cs="Arial" w:eastAsia="Arial" w:hAnsi="Arial"/>
          <w:sz w:val="21"/>
          <w:szCs w:val="21"/>
          <w:color w:val="auto"/>
        </w:rPr>
        <w:t>steps to promote compliance by each of its shareholders, option holders, directors, officers and employees that, to the Company’s knowledge, is, or is directly or indirectly owned or controlled by, a PRC resident or citizen with any applicable rules and regulations of the relevant PRC government agencies (including but not limited to the PRC Ministry of Commerce, the PRC National Development and Reform Commission and the PRC State Administration of Foreign Exchange) relating to overseas investment by PRC residents and citizens (the “</w:t>
      </w:r>
      <w:r>
        <w:rPr>
          <w:rFonts w:ascii="Arial" w:cs="Arial" w:eastAsia="Arial" w:hAnsi="Arial"/>
          <w:sz w:val="21"/>
          <w:szCs w:val="21"/>
          <w:b w:val="1"/>
          <w:bCs w:val="1"/>
          <w:color w:val="auto"/>
        </w:rPr>
        <w:t>PRC Overseas Investment and Listing Regulations</w:t>
      </w:r>
      <w:r>
        <w:rPr>
          <w:rFonts w:ascii="Arial" w:cs="Arial" w:eastAsia="Arial" w:hAnsi="Arial"/>
          <w:sz w:val="21"/>
          <w:szCs w:val="21"/>
          <w:color w:val="auto"/>
        </w:rPr>
        <w:t>”), including, requesting each shareholder, option holder, director, officer, employee and participant that is, or is directly or indirectly owned or controlled by, a PRC resident or citizen to complete any registration and other procedures required under applicable PRC Overseas Investment and Listing Regulations.</w:t>
      </w:r>
    </w:p>
    <w:p>
      <w:pPr>
        <w:spacing w:after="0" w:line="203" w:lineRule="exact"/>
        <w:rPr>
          <w:rFonts w:ascii="Arial" w:cs="Arial" w:eastAsia="Arial" w:hAnsi="Arial"/>
          <w:sz w:val="21"/>
          <w:szCs w:val="21"/>
          <w:color w:val="auto"/>
        </w:rPr>
      </w:pPr>
    </w:p>
    <w:p>
      <w:pPr>
        <w:ind w:left="-40" w:right="200" w:firstLine="1305"/>
        <w:spacing w:after="0" w:line="239" w:lineRule="auto"/>
        <w:tabs>
          <w:tab w:leader="none" w:pos="2265"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CSRC Approval. </w:t>
      </w:r>
      <w:r>
        <w:rPr>
          <w:rFonts w:ascii="Arial" w:cs="Arial" w:eastAsia="Arial" w:hAnsi="Arial"/>
          <w:sz w:val="22"/>
          <w:szCs w:val="22"/>
          <w:color w:val="auto"/>
        </w:rPr>
        <w:t>As of the date hereof, the M&amp;A Rules and Related Clarifications do not require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obtain the approval of the CSRC prior to the issuance and sale of the Offered Shares, the listing and trading of the Offered Shares on Nasdaq, or the consummation of the transactions contemplated by this Agreement, the Registration Statement, the Time of Sale Prospectus or the Prospectus.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12" w:right="279" w:bottom="1440" w:gutter="0" w:footer="0" w:header="0"/>
        </w:sectPr>
      </w:pPr>
    </w:p>
    <w:bookmarkStart w:id="16" w:name="page17"/>
    <w:bookmarkEnd w:id="16"/>
    <w:p>
      <w:pPr>
        <w:ind w:right="460" w:firstLine="648"/>
        <w:spacing w:after="0" w:line="298" w:lineRule="auto"/>
        <w:rPr>
          <w:sz w:val="20"/>
          <w:szCs w:val="20"/>
          <w:color w:val="auto"/>
        </w:rPr>
      </w:pPr>
      <w:r>
        <w:rPr>
          <w:rFonts w:ascii="Arial" w:cs="Arial" w:eastAsia="Arial" w:hAnsi="Arial"/>
          <w:sz w:val="19"/>
          <w:szCs w:val="19"/>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5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20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Purchase, Sale and Delivery of the Offered Shares</w:t>
      </w:r>
      <w:r>
        <w:rPr>
          <w:rFonts w:ascii="Arial" w:cs="Arial" w:eastAsia="Arial" w:hAnsi="Arial"/>
          <w:sz w:val="19"/>
          <w:szCs w:val="19"/>
          <w:color w:val="auto"/>
        </w:rPr>
        <w:t>.</w:t>
      </w:r>
    </w:p>
    <w:p>
      <w:pPr>
        <w:spacing w:after="0" w:line="233" w:lineRule="exact"/>
        <w:rPr>
          <w:sz w:val="20"/>
          <w:szCs w:val="20"/>
          <w:color w:val="auto"/>
        </w:rPr>
      </w:pPr>
    </w:p>
    <w:p>
      <w:pPr>
        <w:ind w:right="140" w:firstLine="1305"/>
        <w:spacing w:after="0" w:line="284" w:lineRule="auto"/>
        <w:tabs>
          <w:tab w:leader="none" w:pos="2089"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Firm Shares. </w:t>
      </w:r>
      <w:r>
        <w:rPr>
          <w:rFonts w:ascii="Arial" w:cs="Arial" w:eastAsia="Arial" w:hAnsi="Arial"/>
          <w:sz w:val="19"/>
          <w:szCs w:val="19"/>
          <w:color w:val="auto"/>
        </w:rPr>
        <w:t>Upon the terms herein set forth, (i) the Company agrees to issue and sell to the several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Underwriters an aggregate of 1,785,715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9"/>
          <w:szCs w:val="19"/>
          <w:u w:val="single" w:color="auto"/>
          <w:color w:val="auto"/>
        </w:rPr>
        <w:t>Schedule A</w:t>
      </w:r>
      <w:r>
        <w:rPr>
          <w:rFonts w:ascii="Arial" w:cs="Arial" w:eastAsia="Arial" w:hAnsi="Arial"/>
          <w:sz w:val="19"/>
          <w:szCs w:val="19"/>
          <w:color w:val="auto"/>
        </w:rPr>
        <w:t>. The purchase price per Firm Share to be paid by the several Underwriters to the Company shall be $13.195 per share.</w:t>
      </w:r>
    </w:p>
    <w:p>
      <w:pPr>
        <w:spacing w:after="0" w:line="165" w:lineRule="exact"/>
        <w:rPr>
          <w:rFonts w:ascii="Arial" w:cs="Arial" w:eastAsia="Arial" w:hAnsi="Arial"/>
          <w:sz w:val="19"/>
          <w:szCs w:val="19"/>
          <w:b w:val="1"/>
          <w:bCs w:val="1"/>
          <w:color w:val="auto"/>
        </w:rPr>
      </w:pPr>
    </w:p>
    <w:p>
      <w:pPr>
        <w:ind w:right="260" w:firstLine="1305"/>
        <w:spacing w:after="0" w:line="278" w:lineRule="auto"/>
        <w:tabs>
          <w:tab w:leader="none" w:pos="2101"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First Closing Date. </w:t>
      </w:r>
      <w:r>
        <w:rPr>
          <w:rFonts w:ascii="Arial" w:cs="Arial" w:eastAsia="Arial" w:hAnsi="Arial"/>
          <w:sz w:val="19"/>
          <w:szCs w:val="19"/>
          <w:color w:val="auto"/>
        </w:rPr>
        <w:t>Delivery of the Firm Shares to be purchased by the Underwriters and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therefor shall be made at the offices of Goodwin Procter LLP (or such other place as may be agreed to by the Company and the Representative) at 10:00 a.m. New York City time, on August 19, 2019, or such other time and date as may be agreed to by the Company and the Representative (the time and date of such closing are called the “</w:t>
      </w:r>
      <w:r>
        <w:rPr>
          <w:rFonts w:ascii="Arial" w:cs="Arial" w:eastAsia="Arial" w:hAnsi="Arial"/>
          <w:sz w:val="19"/>
          <w:szCs w:val="19"/>
          <w:b w:val="1"/>
          <w:bCs w:val="1"/>
          <w:color w:val="auto"/>
        </w:rPr>
        <w:t>First Closing Date</w:t>
      </w:r>
      <w:r>
        <w:rPr>
          <w:rFonts w:ascii="Arial" w:cs="Arial" w:eastAsia="Arial" w:hAnsi="Arial"/>
          <w:sz w:val="19"/>
          <w:szCs w:val="19"/>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11.</w:t>
      </w:r>
    </w:p>
    <w:p>
      <w:pPr>
        <w:spacing w:after="0" w:line="173" w:lineRule="exact"/>
        <w:rPr>
          <w:rFonts w:ascii="Arial" w:cs="Arial" w:eastAsia="Arial" w:hAnsi="Arial"/>
          <w:sz w:val="19"/>
          <w:szCs w:val="19"/>
          <w:b w:val="1"/>
          <w:bCs w:val="1"/>
          <w:color w:val="auto"/>
        </w:rPr>
      </w:pPr>
    </w:p>
    <w:p>
      <w:pPr>
        <w:ind w:firstLine="1305"/>
        <w:spacing w:after="0" w:line="271" w:lineRule="auto"/>
        <w:tabs>
          <w:tab w:leader="none" w:pos="2076"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Optional Shares; Option Closing Date. </w:t>
      </w:r>
      <w:r>
        <w:rPr>
          <w:rFonts w:ascii="Arial" w:cs="Arial" w:eastAsia="Arial" w:hAnsi="Arial"/>
          <w:sz w:val="19"/>
          <w:szCs w:val="19"/>
          <w:color w:val="auto"/>
        </w:rPr>
        <w:t>In addition, on the basis of the representations,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and agreements herein contained, and upon the terms but subject to the conditions herein set forth, the Company hereby grants an option to the several Underwriters to purchase, severally and not jointly, up to an aggregate of 267,857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 to the Company, which notice may be given at any time within 30 days from the date of this Agreement.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9"/>
          <w:szCs w:val="19"/>
          <w:b w:val="1"/>
          <w:bCs w:val="1"/>
          <w:color w:val="auto"/>
        </w:rPr>
        <w:t>First Closing Date</w:t>
      </w:r>
      <w:r>
        <w:rPr>
          <w:rFonts w:ascii="Arial" w:cs="Arial" w:eastAsia="Arial" w:hAnsi="Arial"/>
          <w:sz w:val="19"/>
          <w:szCs w:val="19"/>
          <w:color w:val="auto"/>
        </w:rPr>
        <w:t>” shall refer to the time and date of delivery of the Firm Shares and such Optional Shares). Any such time and date of delivery, if subsequent to the First Closing Date, is called an “</w:t>
      </w:r>
      <w:r>
        <w:rPr>
          <w:rFonts w:ascii="Arial" w:cs="Arial" w:eastAsia="Arial" w:hAnsi="Arial"/>
          <w:sz w:val="19"/>
          <w:szCs w:val="19"/>
          <w:b w:val="1"/>
          <w:bCs w:val="1"/>
          <w:color w:val="auto"/>
        </w:rPr>
        <w:t>Option Closing Date</w:t>
      </w:r>
      <w:r>
        <w:rPr>
          <w:rFonts w:ascii="Arial" w:cs="Arial" w:eastAsia="Arial" w:hAnsi="Arial"/>
          <w:sz w:val="19"/>
          <w:szCs w:val="19"/>
          <w:color w:val="auto"/>
        </w:rPr>
        <w:t xml:space="preserve">,” shall be determined by the Representative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 may determine) that bears the same proportion to the total number of Optional Shares to be purchased as the number of Firm Shares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opposite the name of such Underwriter bears to the total number of Firm Shares. The Representative may cancel the option at any time prior to its expiration by giving written notice of such cancellation to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both"/>
        <w:ind w:right="220" w:firstLine="656"/>
        <w:spacing w:after="0" w:line="254" w:lineRule="auto"/>
        <w:tabs>
          <w:tab w:leader="none" w:pos="1452"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Public Offering of the Offered Shares. </w:t>
      </w:r>
      <w:r>
        <w:rPr>
          <w:rFonts w:ascii="Arial" w:cs="Arial" w:eastAsia="Arial" w:hAnsi="Arial"/>
          <w:sz w:val="21"/>
          <w:szCs w:val="21"/>
          <w:color w:val="auto"/>
        </w:rPr>
        <w:t>The Representative hereby advises the Company that the Underwriters</w:t>
      </w:r>
      <w:r>
        <w:rPr>
          <w:rFonts w:ascii="Arial" w:cs="Arial" w:eastAsia="Arial" w:hAnsi="Arial"/>
          <w:sz w:val="21"/>
          <w:szCs w:val="21"/>
          <w:b w:val="1"/>
          <w:bCs w:val="1"/>
          <w:color w:val="auto"/>
        </w:rPr>
        <w:t xml:space="preserve"> </w:t>
      </w:r>
      <w:r>
        <w:rPr>
          <w:rFonts w:ascii="Arial" w:cs="Arial" w:eastAsia="Arial" w:hAnsi="Arial"/>
          <w:sz w:val="21"/>
          <w:szCs w:val="21"/>
          <w:color w:val="auto"/>
        </w:rPr>
        <w:t>intend to offer for sale to the public, initially on the terms set forth in the Registration Statement, the Time of Sale Prospectus and the Prospectus, their respective portions of the Offered Shares as soon after this Agreement has been executed as the Representative, in its sole judgment, has determined is advisable and practicable.</w:t>
      </w:r>
    </w:p>
    <w:p>
      <w:pPr>
        <w:spacing w:after="0" w:line="193" w:lineRule="exact"/>
        <w:rPr>
          <w:rFonts w:ascii="Arial" w:cs="Arial" w:eastAsia="Arial" w:hAnsi="Arial"/>
          <w:sz w:val="21"/>
          <w:szCs w:val="21"/>
          <w:b w:val="1"/>
          <w:bCs w:val="1"/>
          <w:color w:val="auto"/>
        </w:rPr>
      </w:pPr>
    </w:p>
    <w:p>
      <w:pPr>
        <w:ind w:left="1440" w:hanging="784"/>
        <w:spacing w:after="0"/>
        <w:tabs>
          <w:tab w:leader="none" w:pos="144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the Offered Shares.</w:t>
      </w:r>
    </w:p>
    <w:p>
      <w:pPr>
        <w:spacing w:after="0" w:line="239" w:lineRule="exact"/>
        <w:rPr>
          <w:rFonts w:ascii="Arial" w:cs="Arial" w:eastAsia="Arial" w:hAnsi="Arial"/>
          <w:sz w:val="22"/>
          <w:szCs w:val="22"/>
          <w:b w:val="1"/>
          <w:bCs w:val="1"/>
          <w:color w:val="auto"/>
        </w:rPr>
      </w:pPr>
    </w:p>
    <w:p>
      <w:pPr>
        <w:ind w:right="240" w:firstLine="1305"/>
        <w:spacing w:after="0" w:line="251" w:lineRule="auto"/>
        <w:tabs>
          <w:tab w:leader="none" w:pos="2041" w:val="left"/>
        </w:tabs>
        <w:numPr>
          <w:ilvl w:val="1"/>
          <w:numId w:val="17"/>
        </w:numPr>
        <w:rPr>
          <w:rFonts w:ascii="Arial" w:cs="Arial" w:eastAsia="Arial" w:hAnsi="Arial"/>
          <w:sz w:val="22"/>
          <w:szCs w:val="22"/>
          <w:color w:val="auto"/>
        </w:rPr>
      </w:pPr>
      <w:r>
        <w:rPr>
          <w:rFonts w:ascii="Arial" w:cs="Arial" w:eastAsia="Arial" w:hAnsi="Arial"/>
          <w:sz w:val="22"/>
          <w:szCs w:val="22"/>
          <w:color w:val="auto"/>
        </w:rPr>
        <w:t>Payment for the Offered Shares shall be made at the First Closing Date (and, if applicable, at each Option Closing Date) by wire transfer of immediately available funds to the order of the Company.</w:t>
      </w:r>
    </w:p>
    <w:p>
      <w:pPr>
        <w:spacing w:after="0" w:line="200" w:lineRule="exact"/>
        <w:rPr>
          <w:rFonts w:ascii="Arial" w:cs="Arial" w:eastAsia="Arial" w:hAnsi="Arial"/>
          <w:sz w:val="22"/>
          <w:szCs w:val="22"/>
          <w:color w:val="auto"/>
        </w:rPr>
      </w:pPr>
    </w:p>
    <w:p>
      <w:pPr>
        <w:ind w:firstLine="1305"/>
        <w:spacing w:after="0" w:line="234" w:lineRule="auto"/>
        <w:tabs>
          <w:tab w:leader="none" w:pos="2101" w:val="left"/>
        </w:tabs>
        <w:numPr>
          <w:ilvl w:val="1"/>
          <w:numId w:val="17"/>
        </w:numPr>
        <w:rPr>
          <w:rFonts w:ascii="Arial" w:cs="Arial" w:eastAsia="Arial" w:hAnsi="Arial"/>
          <w:sz w:val="22"/>
          <w:szCs w:val="22"/>
          <w:color w:val="auto"/>
        </w:rPr>
      </w:pPr>
      <w:r>
        <w:rPr>
          <w:rFonts w:ascii="Arial" w:cs="Arial" w:eastAsia="Arial" w:hAnsi="Arial"/>
          <w:sz w:val="22"/>
          <w:szCs w:val="22"/>
          <w:color w:val="auto"/>
        </w:rPr>
        <w:t>It is understood that the Representative has been authorized, for its own account and the accounts of the several Underwriters, to accept delivery of and receipt for, and make payment of the purchase price for, the Firm Shares and any Optional Shares the Underwriters have agreed to purchase. Stifel, individually and not as the Representative of the Underwriters, may (but shall not be obligated to) make payment for any Offered Shares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212" w:lineRule="exact"/>
        <w:rPr>
          <w:rFonts w:ascii="Arial" w:cs="Arial" w:eastAsia="Arial" w:hAnsi="Arial"/>
          <w:sz w:val="22"/>
          <w:szCs w:val="22"/>
          <w:color w:val="auto"/>
        </w:rPr>
      </w:pPr>
    </w:p>
    <w:p>
      <w:pPr>
        <w:ind w:right="20" w:firstLine="656"/>
        <w:spacing w:after="0" w:line="273" w:lineRule="auto"/>
        <w:tabs>
          <w:tab w:leader="none" w:pos="1404"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Delivery of the Offered Shares. </w:t>
      </w:r>
      <w:r>
        <w:rPr>
          <w:rFonts w:ascii="Arial" w:cs="Arial" w:eastAsia="Arial" w:hAnsi="Arial"/>
          <w:sz w:val="19"/>
          <w:szCs w:val="19"/>
          <w:color w:val="auto"/>
        </w:rPr>
        <w:t>The Company shall deliver, or cause to be delivered to the Representative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of the several Underwriters the Firm Shares at the First Closing Date, against release of a wire transfer of immediately available funds for the amount of the purchase price therefor. The Company shall also deliver, or cause to be delivered to the Representative for the accounts of the several Underwriters, the Optional Shares the Underwriters have agreed to purchase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 may designate. Time shall be of the essence, and delivery at the time and place specified in this Agreement is a further condition to the obligations of the Underwriters.</w:t>
      </w:r>
    </w:p>
    <w:p>
      <w:pPr>
        <w:spacing w:after="0" w:line="18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 xml:space="preserve">Additional Covenants of the Company. </w:t>
      </w:r>
      <w:r>
        <w:rPr>
          <w:rFonts w:ascii="Arial" w:cs="Arial" w:eastAsia="Arial" w:hAnsi="Arial"/>
          <w:sz w:val="19"/>
          <w:szCs w:val="19"/>
          <w:color w:val="auto"/>
        </w:rPr>
        <w:t>The Company further covenants and agrees with each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Underwriter as follows:</w:t>
      </w:r>
    </w:p>
    <w:p>
      <w:pPr>
        <w:spacing w:after="0" w:line="209" w:lineRule="exact"/>
        <w:rPr>
          <w:sz w:val="20"/>
          <w:szCs w:val="20"/>
          <w:color w:val="auto"/>
        </w:rPr>
      </w:pPr>
    </w:p>
    <w:p>
      <w:pPr>
        <w:ind w:right="40" w:firstLine="1305"/>
        <w:spacing w:after="0" w:line="280" w:lineRule="auto"/>
        <w:tabs>
          <w:tab w:leader="none" w:pos="2089"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Delivery of Registration Statement, Time of Sale Prospectus and Prospectus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furnish to the Representative in New York City, without charge, prior to 10:00 a.m. New York City time on the second business day following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ind w:left="-80" w:right="100" w:firstLine="1305"/>
        <w:spacing w:after="0" w:line="273" w:lineRule="auto"/>
        <w:tabs>
          <w:tab w:leader="none" w:pos="2021"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Representative’s Review of Proposed Amendments and Supplements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period when a</w:t>
      </w:r>
      <w:r>
        <w:rPr>
          <w:rFonts w:ascii="Arial" w:cs="Arial" w:eastAsia="Arial" w:hAnsi="Arial"/>
          <w:sz w:val="19"/>
          <w:szCs w:val="19"/>
          <w:b w:val="1"/>
          <w:bCs w:val="1"/>
          <w:color w:val="auto"/>
        </w:rPr>
        <w:t xml:space="preserve"> </w:t>
      </w:r>
      <w:r>
        <w:rPr>
          <w:rFonts w:ascii="Arial" w:cs="Arial" w:eastAsia="Arial" w:hAnsi="Arial"/>
          <w:sz w:val="19"/>
          <w:szCs w:val="19"/>
          <w:color w:val="auto"/>
        </w:rPr>
        <w:t>prospectus relating to the Offered Shares 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conditioned or delayed.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spacing w:after="0" w:line="178" w:lineRule="exact"/>
        <w:rPr>
          <w:rFonts w:ascii="Arial" w:cs="Arial" w:eastAsia="Arial" w:hAnsi="Arial"/>
          <w:sz w:val="19"/>
          <w:szCs w:val="19"/>
          <w:b w:val="1"/>
          <w:bCs w:val="1"/>
          <w:color w:val="auto"/>
        </w:rPr>
      </w:pPr>
    </w:p>
    <w:p>
      <w:pPr>
        <w:ind w:left="-80" w:firstLine="1305"/>
        <w:spacing w:after="0" w:line="270" w:lineRule="auto"/>
        <w:tabs>
          <w:tab w:leader="none" w:pos="199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Free Writing Prospectuses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shall furnish to the Representative for review, a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amending or supplementing any such free writing prospectus, the Company shall furnish to the</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Representative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w:t>
      </w:r>
    </w:p>
    <w:p>
      <w:pPr>
        <w:spacing w:after="0" w:line="200" w:lineRule="exact"/>
        <w:rPr>
          <w:rFonts w:ascii="Arial" w:cs="Arial" w:eastAsia="Arial" w:hAnsi="Arial"/>
          <w:sz w:val="19"/>
          <w:szCs w:val="19"/>
          <w:b w:val="1"/>
          <w:bCs w:val="1"/>
          <w:color w:val="auto"/>
        </w:rPr>
      </w:pPr>
    </w:p>
    <w:p>
      <w:pPr>
        <w:spacing w:after="0" w:line="232" w:lineRule="exact"/>
        <w:rPr>
          <w:rFonts w:ascii="Arial" w:cs="Arial" w:eastAsia="Arial" w:hAnsi="Arial"/>
          <w:sz w:val="19"/>
          <w:szCs w:val="19"/>
          <w:b w:val="1"/>
          <w:bCs w:val="1"/>
          <w:color w:val="auto"/>
        </w:rPr>
      </w:pPr>
    </w:p>
    <w:p>
      <w:pPr>
        <w:jc w:val="both"/>
        <w:ind w:left="-80" w:right="180" w:firstLine="1305"/>
        <w:spacing w:after="0" w:line="239" w:lineRule="auto"/>
        <w:tabs>
          <w:tab w:leader="none" w:pos="2021"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Filing of Underwriter Free Writing Prospectuses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not take any action that would</w:t>
      </w:r>
      <w:r>
        <w:rPr>
          <w:rFonts w:ascii="Arial" w:cs="Arial" w:eastAsia="Arial" w:hAnsi="Arial"/>
          <w:sz w:val="22"/>
          <w:szCs w:val="22"/>
          <w:b w:val="1"/>
          <w:bCs w:val="1"/>
          <w:color w:val="auto"/>
        </w:rPr>
        <w:t xml:space="preserve"> </w:t>
      </w:r>
      <w:r>
        <w:rPr>
          <w:rFonts w:ascii="Arial" w:cs="Arial" w:eastAsia="Arial" w:hAnsi="Arial"/>
          <w:sz w:val="22"/>
          <w:szCs w:val="22"/>
          <w:color w:val="auto"/>
        </w:rPr>
        <w:t>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41910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19" w:name="page20"/>
    <w:bookmarkEnd w:id="19"/>
    <w:p>
      <w:pPr>
        <w:ind w:left="-20" w:right="20" w:firstLine="1305"/>
        <w:spacing w:after="0" w:line="272" w:lineRule="auto"/>
        <w:tabs>
          <w:tab w:leader="none" w:pos="2056"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 and Supplements to Time of Sale Prospectus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the Time of Sale Prospectus is being used</w:t>
      </w:r>
      <w:r>
        <w:rPr>
          <w:rFonts w:ascii="Arial" w:cs="Arial" w:eastAsia="Arial" w:hAnsi="Arial"/>
          <w:sz w:val="19"/>
          <w:szCs w:val="19"/>
          <w:b w:val="1"/>
          <w:bCs w:val="1"/>
          <w:color w:val="auto"/>
        </w:rPr>
        <w:t xml:space="preserve"> </w:t>
      </w:r>
      <w:r>
        <w:rPr>
          <w:rFonts w:ascii="Arial" w:cs="Arial" w:eastAsia="Arial" w:hAnsi="Arial"/>
          <w:sz w:val="19"/>
          <w:szCs w:val="19"/>
          <w:color w:val="auto"/>
        </w:rPr>
        <w:t>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80" w:lineRule="exact"/>
        <w:rPr>
          <w:rFonts w:ascii="Arial" w:cs="Arial" w:eastAsia="Arial" w:hAnsi="Arial"/>
          <w:sz w:val="19"/>
          <w:szCs w:val="19"/>
          <w:b w:val="1"/>
          <w:bCs w:val="1"/>
          <w:color w:val="auto"/>
        </w:rPr>
      </w:pPr>
    </w:p>
    <w:p>
      <w:pPr>
        <w:ind w:left="-20" w:right="80" w:firstLine="1305"/>
        <w:spacing w:after="0" w:line="271" w:lineRule="auto"/>
        <w:tabs>
          <w:tab w:leader="none" w:pos="2033"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Notifications and Required Actions. </w:t>
      </w:r>
      <w:r>
        <w:rPr>
          <w:rFonts w:ascii="Arial" w:cs="Arial" w:eastAsia="Arial" w:hAnsi="Arial"/>
          <w:sz w:val="19"/>
          <w:szCs w:val="19"/>
          <w:color w:val="auto"/>
        </w:rPr>
        <w:t>After the date of this Agreement,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advise the Representative in writing of: (i) the receipt of any comments of, or requests for additional or supplemental information from, the Commission relating to the Registration Statement, the Time of Sale Prospectus or the Prospectus;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Class A Stock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spacing w:after="0" w:line="188" w:lineRule="exact"/>
        <w:rPr>
          <w:rFonts w:ascii="Arial" w:cs="Arial" w:eastAsia="Arial" w:hAnsi="Arial"/>
          <w:sz w:val="19"/>
          <w:szCs w:val="19"/>
          <w:b w:val="1"/>
          <w:bCs w:val="1"/>
          <w:color w:val="auto"/>
        </w:rPr>
      </w:pPr>
    </w:p>
    <w:p>
      <w:pPr>
        <w:ind w:left="-20" w:firstLine="1305"/>
        <w:spacing w:after="0" w:line="272" w:lineRule="auto"/>
        <w:tabs>
          <w:tab w:leader="none" w:pos="2069"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 and Supplements to the Prospectus and Other Securities Act Matters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any event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1" w:right="239" w:bottom="1440" w:gutter="0" w:footer="0" w:header="0"/>
        </w:sectPr>
      </w:pPr>
    </w:p>
    <w:bookmarkStart w:id="20" w:name="page21"/>
    <w:bookmarkEnd w:id="20"/>
    <w:p>
      <w:pPr>
        <w:ind w:right="140" w:firstLine="1305"/>
        <w:spacing w:after="0" w:line="274" w:lineRule="auto"/>
        <w:tabs>
          <w:tab w:leader="none" w:pos="2101" w:val="left"/>
        </w:tabs>
        <w:numPr>
          <w:ilvl w:val="1"/>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Blue Sky Compliance. </w:t>
      </w:r>
      <w:r>
        <w:rPr>
          <w:rFonts w:ascii="Arial" w:cs="Arial" w:eastAsia="Arial" w:hAnsi="Arial"/>
          <w:sz w:val="19"/>
          <w:szCs w:val="19"/>
          <w:color w:val="auto"/>
        </w:rPr>
        <w:t>The Company shall cooperate with the Representative and counsel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Underwriters to qualify or register the Offered Shares for sale under (or obtain exemptions from the application of) the state securities or blue sky laws or Canadian provincial securities laws (or other foreign laws) of those jurisdictions designated by the Representative,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The Company will advise the Representative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80" w:lineRule="exact"/>
        <w:rPr>
          <w:rFonts w:ascii="Arial" w:cs="Arial" w:eastAsia="Arial" w:hAnsi="Arial"/>
          <w:sz w:val="19"/>
          <w:szCs w:val="19"/>
          <w:b w:val="1"/>
          <w:bCs w:val="1"/>
          <w:color w:val="auto"/>
        </w:rPr>
      </w:pPr>
    </w:p>
    <w:p>
      <w:pPr>
        <w:ind w:right="120" w:firstLine="1305"/>
        <w:spacing w:after="0" w:line="243" w:lineRule="auto"/>
        <w:tabs>
          <w:tab w:leader="none" w:pos="2041" w:val="left"/>
        </w:tabs>
        <w:numPr>
          <w:ilvl w:val="1"/>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w:t>
      </w:r>
      <w:r>
        <w:rPr>
          <w:rFonts w:ascii="Arial" w:cs="Arial" w:eastAsia="Arial" w:hAnsi="Arial"/>
          <w:sz w:val="22"/>
          <w:szCs w:val="22"/>
          <w:color w:val="auto"/>
        </w:rPr>
        <w:t>The Company shall apply the net proceeds from the sale of the Offered Shares sold by it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manner described under the caption “Use of Proceeds” in the Registration Statement, the Time of Sale Prospectus and the Prospectus.</w:t>
      </w:r>
    </w:p>
    <w:p>
      <w:pPr>
        <w:spacing w:after="0" w:line="203" w:lineRule="exact"/>
        <w:rPr>
          <w:rFonts w:ascii="Arial" w:cs="Arial" w:eastAsia="Arial" w:hAnsi="Arial"/>
          <w:sz w:val="22"/>
          <w:szCs w:val="22"/>
          <w:b w:val="1"/>
          <w:bCs w:val="1"/>
          <w:color w:val="auto"/>
        </w:rPr>
      </w:pPr>
    </w:p>
    <w:p>
      <w:pPr>
        <w:ind w:left="2060" w:hanging="755"/>
        <w:spacing w:after="0"/>
        <w:tabs>
          <w:tab w:leader="none" w:pos="2060" w:val="left"/>
        </w:tabs>
        <w:numPr>
          <w:ilvl w:val="1"/>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Agent. </w:t>
      </w:r>
      <w:r>
        <w:rPr>
          <w:rFonts w:ascii="Arial" w:cs="Arial" w:eastAsia="Arial" w:hAnsi="Arial"/>
          <w:sz w:val="19"/>
          <w:szCs w:val="19"/>
          <w:color w:val="auto"/>
        </w:rPr>
        <w:t>The Company shall engage and maintain, at its expense, a registrar and transfer agent for</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Class A Stock.</w:t>
      </w:r>
    </w:p>
    <w:p>
      <w:pPr>
        <w:spacing w:after="0" w:line="209" w:lineRule="exact"/>
        <w:rPr>
          <w:rFonts w:ascii="Arial" w:cs="Arial" w:eastAsia="Arial" w:hAnsi="Arial"/>
          <w:sz w:val="19"/>
          <w:szCs w:val="19"/>
          <w:b w:val="1"/>
          <w:bCs w:val="1"/>
          <w:color w:val="auto"/>
        </w:rPr>
      </w:pPr>
    </w:p>
    <w:p>
      <w:pPr>
        <w:ind w:firstLine="1305"/>
        <w:spacing w:after="0" w:line="254" w:lineRule="auto"/>
        <w:tabs>
          <w:tab w:leader="none" w:pos="2101" w:val="left"/>
        </w:tabs>
        <w:numPr>
          <w:ilvl w:val="1"/>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Earnings Statement. </w:t>
      </w:r>
      <w:r>
        <w:rPr>
          <w:rFonts w:ascii="Arial" w:cs="Arial" w:eastAsia="Arial" w:hAnsi="Arial"/>
          <w:sz w:val="21"/>
          <w:szCs w:val="21"/>
          <w:color w:val="auto"/>
        </w:rPr>
        <w:t>The Company will make generally available to its security holders and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93" w:lineRule="exact"/>
        <w:rPr>
          <w:rFonts w:ascii="Arial" w:cs="Arial" w:eastAsia="Arial" w:hAnsi="Arial"/>
          <w:sz w:val="21"/>
          <w:szCs w:val="21"/>
          <w:b w:val="1"/>
          <w:bCs w:val="1"/>
          <w:color w:val="auto"/>
        </w:rPr>
      </w:pPr>
    </w:p>
    <w:p>
      <w:pPr>
        <w:ind w:right="60" w:firstLine="1305"/>
        <w:spacing w:after="0" w:line="280" w:lineRule="auto"/>
        <w:tabs>
          <w:tab w:leader="none" w:pos="2041" w:val="left"/>
        </w:tabs>
        <w:numPr>
          <w:ilvl w:val="1"/>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Continued Compliance with Securities Laws. </w:t>
      </w:r>
      <w:r>
        <w:rPr>
          <w:rFonts w:ascii="Arial" w:cs="Arial" w:eastAsia="Arial" w:hAnsi="Arial"/>
          <w:sz w:val="19"/>
          <w:szCs w:val="19"/>
          <w:color w:val="auto"/>
        </w:rPr>
        <w:t>The Company will comply with the Securities Act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Act so as to permit the completion of the distribution of the Offered Shares as contemplated by this Agreement,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72" w:lineRule="exact"/>
        <w:rPr>
          <w:rFonts w:ascii="Arial" w:cs="Arial" w:eastAsia="Arial" w:hAnsi="Arial"/>
          <w:sz w:val="19"/>
          <w:szCs w:val="19"/>
          <w:b w:val="1"/>
          <w:bCs w:val="1"/>
          <w:color w:val="auto"/>
        </w:rPr>
      </w:pPr>
    </w:p>
    <w:p>
      <w:pPr>
        <w:ind w:left="2160" w:hanging="855"/>
        <w:spacing w:after="0"/>
        <w:tabs>
          <w:tab w:leader="none" w:pos="2160" w:val="left"/>
        </w:tabs>
        <w:numPr>
          <w:ilvl w:val="1"/>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Listing. </w:t>
      </w:r>
      <w:r>
        <w:rPr>
          <w:rFonts w:ascii="Arial" w:cs="Arial" w:eastAsia="Arial" w:hAnsi="Arial"/>
          <w:sz w:val="19"/>
          <w:szCs w:val="19"/>
          <w:color w:val="auto"/>
        </w:rPr>
        <w:t>The Company will use its best efforts to list, subject to notice of issuance, the Offered Shares on</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Nasdaq.</w:t>
      </w:r>
    </w:p>
    <w:p>
      <w:pPr>
        <w:spacing w:after="0" w:line="209" w:lineRule="exact"/>
        <w:rPr>
          <w:rFonts w:ascii="Arial" w:cs="Arial" w:eastAsia="Arial" w:hAnsi="Arial"/>
          <w:sz w:val="19"/>
          <w:szCs w:val="19"/>
          <w:b w:val="1"/>
          <w:bCs w:val="1"/>
          <w:color w:val="auto"/>
        </w:rPr>
      </w:pPr>
    </w:p>
    <w:p>
      <w:pPr>
        <w:ind w:right="60" w:firstLine="656"/>
        <w:spacing w:after="0" w:line="262" w:lineRule="auto"/>
        <w:tabs>
          <w:tab w:leader="none" w:pos="1452"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Agreement Not to Offer or Sell Additional Shares. </w:t>
      </w:r>
      <w:r>
        <w:rPr>
          <w:rFonts w:ascii="Arial" w:cs="Arial" w:eastAsia="Arial" w:hAnsi="Arial"/>
          <w:sz w:val="19"/>
          <w:szCs w:val="19"/>
          <w:color w:val="auto"/>
        </w:rPr>
        <w:t>During the period commencing on and including the date</w:t>
      </w:r>
      <w:r>
        <w:rPr>
          <w:rFonts w:ascii="Arial" w:cs="Arial" w:eastAsia="Arial" w:hAnsi="Arial"/>
          <w:sz w:val="19"/>
          <w:szCs w:val="19"/>
          <w:b w:val="1"/>
          <w:bCs w:val="1"/>
          <w:color w:val="auto"/>
        </w:rPr>
        <w:t xml:space="preserve"> </w:t>
      </w:r>
      <w:r>
        <w:rPr>
          <w:rFonts w:ascii="Arial" w:cs="Arial" w:eastAsia="Arial" w:hAnsi="Arial"/>
          <w:sz w:val="19"/>
          <w:szCs w:val="19"/>
          <w:color w:val="auto"/>
        </w:rPr>
        <w:t>hereof and continuing through and including the 90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following the date of the Prospectus (such period, as extended as described below, being referred to herein as the “</w:t>
      </w:r>
      <w:r>
        <w:rPr>
          <w:rFonts w:ascii="Arial" w:cs="Arial" w:eastAsia="Arial" w:hAnsi="Arial"/>
          <w:sz w:val="19"/>
          <w:szCs w:val="19"/>
          <w:b w:val="1"/>
          <w:bCs w:val="1"/>
          <w:color w:val="auto"/>
        </w:rPr>
        <w:t>Lock-up Period</w:t>
      </w:r>
      <w:r>
        <w:rPr>
          <w:rFonts w:ascii="Arial" w:cs="Arial" w:eastAsia="Arial" w:hAnsi="Arial"/>
          <w:sz w:val="19"/>
          <w:szCs w:val="19"/>
          <w:color w:val="auto"/>
        </w:rPr>
        <w:t xml:space="preserve">”), the Company will not, without the prior written consent of the Representative (which consent may be withheld in its sole discretion), directly or indirectly: (i) sell, offer to sell, contract to sell or lend any Class A Stock or Related Securities (as defined below); (ii) effect any short sale, or establish or increase any “put equivalent position” (as defined in Rule 16a-1(h) under the Exchange Act) or liquidate or decrease any “call equivalent position” (as defined in Rule 16a-1(b) under the Exchange Act) of any Class A Stock or Related Securities; (iii) pledge, hypothecate or grant any security interest in any Class A Stock or Related Securities; (iv) in any other way transfer or dispose of any Class A Stock or Related Securities; (v) enter into any swap, hedge or similar arrangement or agreement that transfers, in whole or in part, the economic risk of ownership of any Class A Stock or Related Securities, regardless of whether any such transaction is to be settled in securities, in cash or otherwise; (vi) announce the offering of any Class A Stock or Related Securities; (vii) file any registration statement under the Securities Act in respect of any Class A Stock or Related Securities (other than as contemplated by this Agreement with respect to the Offered Shares); or (viii) publicly announce the intention to do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may (A) effect the transactions contemplated hereby, (B) issue Class A Stock or options to 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Class A Stock, or issue Class A Stock upon exercise of options, pursuant to any stock option, stock bonus or other stock plan or arrangement described in the Registration Statement, the Time of Sale Prospectus and the Prospectus, (C) file a registration statement on Form S-8 to register shares of Class A Stock issuable pursuant to the terms of any stock option, stock bonus or other stock plan or arrangement described in the Registration Statement, the Time of Sale Prospectus and the Prospectus, and (D) issue shares of Class A Stock in connection with any joint venture, commercial or collaborative relationship or the acquisition or license by the Company of the securities, businesses, property or other assets of another person or entity;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clause (D), such shares of Class A Stock shall not in the aggregate exceed 10% of the Company’s outstanding shares of Class A Stock on a fully diluted basis after giving effect to the sale of the Offered Shares contemplated by this Agreement. For purposes of the foregoing, “</w:t>
      </w:r>
      <w:r>
        <w:rPr>
          <w:rFonts w:ascii="Arial" w:cs="Arial" w:eastAsia="Arial" w:hAnsi="Arial"/>
          <w:sz w:val="19"/>
          <w:szCs w:val="19"/>
          <w:b w:val="1"/>
          <w:bCs w:val="1"/>
          <w:color w:val="auto"/>
        </w:rPr>
        <w:t>Related Securities</w:t>
      </w:r>
      <w:r>
        <w:rPr>
          <w:rFonts w:ascii="Arial" w:cs="Arial" w:eastAsia="Arial" w:hAnsi="Arial"/>
          <w:sz w:val="19"/>
          <w:szCs w:val="19"/>
          <w:color w:val="auto"/>
        </w:rPr>
        <w:t>” shall mean any options or warrants or other rights to acquire Class A Stock or any securities exchangeable or exercisable for or convertible into Class A Stock, or to acquire other securities or rights ultimately exchangeable or exercisable for, or convertible into, Class A Stock.</w:t>
      </w:r>
    </w:p>
    <w:p>
      <w:pPr>
        <w:sectPr>
          <w:pgSz w:w="11900" w:h="16838" w:orient="portrait"/>
          <w:cols w:equalWidth="0" w:num="1">
            <w:col w:w="11400"/>
          </w:cols>
          <w:pgMar w:left="240" w:top="111" w:right="25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type w:val="continuous"/>
        </w:sectPr>
      </w:pPr>
    </w:p>
    <w:bookmarkStart w:id="21" w:name="page22"/>
    <w:bookmarkEnd w:id="21"/>
    <w:p>
      <w:pPr>
        <w:ind w:left="-8" w:firstLine="1305"/>
        <w:spacing w:after="0" w:line="270" w:lineRule="auto"/>
        <w:tabs>
          <w:tab w:leader="none" w:pos="2081" w:val="left"/>
        </w:tabs>
        <w:numPr>
          <w:ilvl w:val="1"/>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Future Reports to the Representative</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period of five years hereafter, the Company will</w:t>
      </w:r>
      <w:r>
        <w:rPr>
          <w:rFonts w:ascii="Arial" w:cs="Arial" w:eastAsia="Arial" w:hAnsi="Arial"/>
          <w:sz w:val="19"/>
          <w:szCs w:val="19"/>
          <w:b w:val="1"/>
          <w:bCs w:val="1"/>
          <w:color w:val="auto"/>
        </w:rPr>
        <w:t xml:space="preserve"> </w:t>
      </w:r>
      <w:r>
        <w:rPr>
          <w:rFonts w:ascii="Arial" w:cs="Arial" w:eastAsia="Arial" w:hAnsi="Arial"/>
          <w:sz w:val="19"/>
          <w:szCs w:val="19"/>
          <w:color w:val="auto"/>
        </w:rPr>
        <w:t>furnish to the Representative, c/o Stifel, at One Montgomery Street, Suite 3700, San Francisco, California 94104, Attention: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similar report filed by the Company with the Commission or any securities exchange; and</w:t>
      </w:r>
    </w:p>
    <w:p>
      <w:pPr>
        <w:spacing w:after="0" w:line="5" w:lineRule="exact"/>
        <w:rPr>
          <w:rFonts w:ascii="Arial" w:cs="Arial" w:eastAsia="Arial" w:hAnsi="Arial"/>
          <w:sz w:val="19"/>
          <w:szCs w:val="19"/>
          <w:b w:val="1"/>
          <w:bCs w:val="1"/>
          <w:color w:val="auto"/>
        </w:rPr>
      </w:pPr>
    </w:p>
    <w:p>
      <w:pPr>
        <w:ind w:left="-8" w:right="140" w:firstLine="8"/>
        <w:spacing w:after="0" w:line="249" w:lineRule="auto"/>
        <w:tabs>
          <w:tab w:leader="none" w:pos="370"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as soon as available, copies of any report or communication of the Company furnished or made available generally to holders of its capital stock;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requirements of this Section 3(o) shall be satisfied to the extent that such reports, statement, communications, financial statements or other documents are available on EDGAR.</w:t>
      </w:r>
    </w:p>
    <w:p>
      <w:pPr>
        <w:spacing w:after="0" w:line="196" w:lineRule="exact"/>
        <w:rPr>
          <w:rFonts w:ascii="Arial" w:cs="Arial" w:eastAsia="Arial" w:hAnsi="Arial"/>
          <w:sz w:val="21"/>
          <w:szCs w:val="21"/>
          <w:color w:val="auto"/>
        </w:rPr>
      </w:pPr>
    </w:p>
    <w:p>
      <w:pPr>
        <w:ind w:left="-8" w:right="180" w:firstLine="1305"/>
        <w:spacing w:after="0" w:line="243" w:lineRule="auto"/>
        <w:tabs>
          <w:tab w:leader="none" w:pos="2093" w:val="left"/>
        </w:tabs>
        <w:numPr>
          <w:ilvl w:val="1"/>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 Limitation. </w:t>
      </w:r>
      <w:r>
        <w:rPr>
          <w:rFonts w:ascii="Arial" w:cs="Arial" w:eastAsia="Arial" w:hAnsi="Arial"/>
          <w:sz w:val="22"/>
          <w:szCs w:val="22"/>
          <w:color w:val="auto"/>
        </w:rPr>
        <w:t>The Company shall not invest or otherwise use the proceeds received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from its sale of the Offered Shares in such a manner as would require the Company or any of its subsidiaries to register as an investment company under the Investment Company Act.</w:t>
      </w:r>
    </w:p>
    <w:p>
      <w:pPr>
        <w:spacing w:after="0" w:line="203" w:lineRule="exact"/>
        <w:rPr>
          <w:rFonts w:ascii="Arial" w:cs="Arial" w:eastAsia="Arial" w:hAnsi="Arial"/>
          <w:sz w:val="22"/>
          <w:szCs w:val="22"/>
          <w:b w:val="1"/>
          <w:bCs w:val="1"/>
          <w:color w:val="auto"/>
        </w:rPr>
      </w:pPr>
    </w:p>
    <w:p>
      <w:pPr>
        <w:ind w:left="-8" w:right="100" w:firstLine="1305"/>
        <w:spacing w:after="0" w:line="237" w:lineRule="auto"/>
        <w:tabs>
          <w:tab w:leader="none" w:pos="2093" w:val="left"/>
        </w:tabs>
        <w:numPr>
          <w:ilvl w:val="1"/>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Stabilization or Manipulation; Compliance with Regulation M. </w:t>
      </w:r>
      <w:r>
        <w:rPr>
          <w:rFonts w:ascii="Arial" w:cs="Arial" w:eastAsia="Arial" w:hAnsi="Arial"/>
          <w:sz w:val="22"/>
          <w:szCs w:val="22"/>
          <w:color w:val="auto"/>
        </w:rPr>
        <w:t>The Company will not take,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ensure that no affiliate of the Company will take, directly or indirectly, any action designed to or that might cause or result in stabilization or manipulation of the price of the Class A Stock or any reference security with respect to the Class A Stock, whether to facilitate the sale or resale of the Offered Shares or otherwise, and the Company will, and shall cause each of its affiliates to, comply with all applicable provisions of Regulation M.</w:t>
      </w:r>
    </w:p>
    <w:p>
      <w:pPr>
        <w:spacing w:after="0" w:line="209" w:lineRule="exact"/>
        <w:rPr>
          <w:rFonts w:ascii="Arial" w:cs="Arial" w:eastAsia="Arial" w:hAnsi="Arial"/>
          <w:sz w:val="22"/>
          <w:szCs w:val="22"/>
          <w:b w:val="1"/>
          <w:bCs w:val="1"/>
          <w:color w:val="auto"/>
        </w:rPr>
      </w:pPr>
    </w:p>
    <w:p>
      <w:pPr>
        <w:ind w:left="-8" w:right="80" w:firstLine="1305"/>
        <w:spacing w:after="0" w:line="235" w:lineRule="auto"/>
        <w:tabs>
          <w:tab w:leader="none" w:pos="2068" w:val="left"/>
        </w:tabs>
        <w:numPr>
          <w:ilvl w:val="1"/>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Enforce Lock-Up Agreements. </w:t>
      </w:r>
      <w:r>
        <w:rPr>
          <w:rFonts w:ascii="Arial" w:cs="Arial" w:eastAsia="Arial" w:hAnsi="Arial"/>
          <w:sz w:val="22"/>
          <w:szCs w:val="22"/>
          <w:color w:val="auto"/>
        </w:rPr>
        <w:t>During the Lock-up Period, the Company will enforce all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Company and any of its security holders that restrict or prohibit, expressly or in operation, the offer, sale or transfer of Class A Stock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Section 6(h) hereof.</w:t>
      </w:r>
    </w:p>
    <w:p>
      <w:pPr>
        <w:spacing w:after="0" w:line="14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11" w:right="279" w:bottom="1440" w:gutter="0" w:footer="0" w:header="0"/>
        </w:sectPr>
      </w:pPr>
    </w:p>
    <w:bookmarkStart w:id="22" w:name="page23"/>
    <w:bookmarkEnd w:id="22"/>
    <w:p>
      <w:pPr>
        <w:ind w:right="40" w:firstLine="1305"/>
        <w:spacing w:after="0" w:line="289" w:lineRule="auto"/>
        <w:tabs>
          <w:tab w:leader="none" w:pos="2065"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Company to Provide Interim Financial Statements. </w:t>
      </w:r>
      <w:r>
        <w:rPr>
          <w:rFonts w:ascii="Arial" w:cs="Arial" w:eastAsia="Arial" w:hAnsi="Arial"/>
          <w:sz w:val="19"/>
          <w:szCs w:val="19"/>
          <w:color w:val="auto"/>
        </w:rPr>
        <w:t>Prior to the First Closing Date and each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included or incorporated by reference in the Registration Statement and the Prospectus.</w:t>
      </w:r>
    </w:p>
    <w:p>
      <w:pPr>
        <w:spacing w:after="0" w:line="163" w:lineRule="exact"/>
        <w:rPr>
          <w:rFonts w:ascii="Arial" w:cs="Arial" w:eastAsia="Arial" w:hAnsi="Arial"/>
          <w:sz w:val="19"/>
          <w:szCs w:val="19"/>
          <w:b w:val="1"/>
          <w:bCs w:val="1"/>
          <w:color w:val="auto"/>
        </w:rPr>
      </w:pPr>
    </w:p>
    <w:p>
      <w:pPr>
        <w:ind w:firstLine="1305"/>
        <w:spacing w:after="0" w:line="234" w:lineRule="auto"/>
        <w:tabs>
          <w:tab w:leader="none" w:pos="2053"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and Supplements to Permitted Section 5(d)Communications</w:t>
      </w:r>
      <w:r>
        <w:rPr>
          <w:rFonts w:ascii="Arial" w:cs="Arial" w:eastAsia="Arial" w:hAnsi="Arial"/>
          <w:sz w:val="22"/>
          <w:szCs w:val="22"/>
          <w:color w:val="auto"/>
        </w:rPr>
        <w:t>. If at any time following the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of any Permitted Section 5(d) Communication, during the period when a prospectus relating to the Offered Shares is required by the Securities Act to be delivered (whether physically or through compliance with Rule 172 under the Securities Act or any similar rule),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upon the reasonable request of the Representative, will promptly amend or supplement, at its own expense, such Permitted Section 5(d) Communication to eliminate or correct such untrue statement or omission.</w:t>
      </w:r>
    </w:p>
    <w:p>
      <w:pPr>
        <w:spacing w:after="0" w:line="211" w:lineRule="exact"/>
        <w:rPr>
          <w:rFonts w:ascii="Arial" w:cs="Arial" w:eastAsia="Arial" w:hAnsi="Arial"/>
          <w:sz w:val="22"/>
          <w:szCs w:val="22"/>
          <w:b w:val="1"/>
          <w:bCs w:val="1"/>
          <w:color w:val="auto"/>
        </w:rPr>
      </w:pPr>
    </w:p>
    <w:p>
      <w:pPr>
        <w:ind w:firstLine="1305"/>
        <w:spacing w:after="0" w:line="289" w:lineRule="auto"/>
        <w:tabs>
          <w:tab w:leader="none" w:pos="2101"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Emerging Growth Company Status</w:t>
      </w:r>
      <w:r>
        <w:rPr>
          <w:rFonts w:ascii="Arial" w:cs="Arial" w:eastAsia="Arial" w:hAnsi="Arial"/>
          <w:sz w:val="19"/>
          <w:szCs w:val="19"/>
          <w:color w:val="auto"/>
        </w:rPr>
        <w:t>. The Company will promptly notify the Representative if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ceases to be an Emerging Growth 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63" w:lineRule="exact"/>
        <w:rPr>
          <w:sz w:val="20"/>
          <w:szCs w:val="20"/>
          <w:color w:val="auto"/>
        </w:rPr>
      </w:pPr>
    </w:p>
    <w:p>
      <w:pPr>
        <w:ind w:right="200" w:firstLine="648"/>
        <w:spacing w:after="0" w:line="275" w:lineRule="auto"/>
        <w:rPr>
          <w:sz w:val="20"/>
          <w:szCs w:val="20"/>
          <w:color w:val="auto"/>
        </w:rPr>
      </w:pPr>
      <w:r>
        <w:rPr>
          <w:rFonts w:ascii="Arial" w:cs="Arial" w:eastAsia="Arial" w:hAnsi="Arial"/>
          <w:sz w:val="19"/>
          <w:szCs w:val="19"/>
          <w:b w:val="1"/>
          <w:bCs w:val="1"/>
          <w:color w:val="auto"/>
        </w:rPr>
        <w:t xml:space="preserve">Section 4. Payment of Expenses. </w:t>
      </w:r>
      <w:r>
        <w:rPr>
          <w:rFonts w:ascii="Arial" w:cs="Arial" w:eastAsia="Arial" w:hAnsi="Arial"/>
          <w:sz w:val="19"/>
          <w:szCs w:val="19"/>
          <w:color w:val="auto"/>
        </w:rPr>
        <w:t>The Company agrees to pay all costs, fees and expenses incurred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performance of its obligations hereunder and in connection with the transactions contemplated hereby, including without limitation (i) all expenses incident to the issuance and delivery of the Offered Shares (including all printing and engraving costs),</w:t>
      </w:r>
    </w:p>
    <w:p>
      <w:pPr>
        <w:spacing w:after="0" w:line="2" w:lineRule="exact"/>
        <w:rPr>
          <w:sz w:val="20"/>
          <w:szCs w:val="20"/>
          <w:color w:val="auto"/>
        </w:rPr>
      </w:pPr>
    </w:p>
    <w:p>
      <w:pPr>
        <w:ind w:right="40" w:firstLine="8"/>
        <w:spacing w:after="0" w:line="268" w:lineRule="auto"/>
        <w:tabs>
          <w:tab w:leader="none" w:pos="318" w:val="left"/>
        </w:tabs>
        <w:numPr>
          <w:ilvl w:val="0"/>
          <w:numId w:val="26"/>
        </w:numPr>
        <w:rPr>
          <w:rFonts w:ascii="Arial" w:cs="Arial" w:eastAsia="Arial" w:hAnsi="Arial"/>
          <w:sz w:val="19"/>
          <w:szCs w:val="19"/>
          <w:color w:val="auto"/>
        </w:rPr>
      </w:pPr>
      <w:r>
        <w:rPr>
          <w:rFonts w:ascii="Arial" w:cs="Arial" w:eastAsia="Arial" w:hAnsi="Arial"/>
          <w:sz w:val="19"/>
          <w:szCs w:val="19"/>
          <w:color w:val="auto"/>
        </w:rPr>
        <w:t>all fees and expenses of the registrar and transfer agent of the Class A Stock,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(ix) the fees and expenses associated with listing the Offered Shares on the Nasdaq, (x) the fees and expenses of counsel to the Underwriters in an amount not to exceed $75,000 in the aggregate (including as provided in clauses (vi) and (vii)), and (xi) all other costs and expenses incident to the performance of the Company’s obligations hereunder which are not otherwise specifically provided for in this Section 4. Except as provided in this Section 4 or in Section 7, Section 9 or Section 10 hereof, the Underwriters shall pay their own expenses, including the fees and disbursements of their counsel.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3" w:name="page24"/>
    <w:bookmarkEnd w:id="23"/>
    <w:p>
      <w:pPr>
        <w:ind w:right="40" w:firstLine="648"/>
        <w:spacing w:after="0" w:line="254" w:lineRule="auto"/>
        <w:rPr>
          <w:sz w:val="20"/>
          <w:szCs w:val="20"/>
          <w:color w:val="auto"/>
        </w:rPr>
      </w:pPr>
      <w:r>
        <w:rPr>
          <w:rFonts w:ascii="Arial" w:cs="Arial" w:eastAsia="Arial" w:hAnsi="Arial"/>
          <w:sz w:val="21"/>
          <w:szCs w:val="21"/>
          <w:b w:val="1"/>
          <w:bCs w:val="1"/>
          <w:color w:val="auto"/>
        </w:rPr>
        <w:t xml:space="preserve">Section 5. Covenant of the Underwriters. </w:t>
      </w:r>
      <w:r>
        <w:rPr>
          <w:rFonts w:ascii="Arial" w:cs="Arial" w:eastAsia="Arial" w:hAnsi="Arial"/>
          <w:sz w:val="21"/>
          <w:szCs w:val="21"/>
          <w:color w:val="auto"/>
        </w:rPr>
        <w:t>Each Underwriter severally and not jointly covenants with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94" w:lineRule="exact"/>
        <w:rPr>
          <w:sz w:val="20"/>
          <w:szCs w:val="20"/>
          <w:color w:val="auto"/>
        </w:rPr>
      </w:pPr>
    </w:p>
    <w:p>
      <w:pPr>
        <w:ind w:firstLine="648"/>
        <w:spacing w:after="0" w:line="280" w:lineRule="auto"/>
        <w:rPr>
          <w:sz w:val="20"/>
          <w:szCs w:val="20"/>
          <w:color w:val="auto"/>
        </w:rPr>
      </w:pPr>
      <w:r>
        <w:rPr>
          <w:rFonts w:ascii="Arial" w:cs="Arial" w:eastAsia="Arial" w:hAnsi="Arial"/>
          <w:sz w:val="19"/>
          <w:szCs w:val="19"/>
          <w:b w:val="1"/>
          <w:bCs w:val="1"/>
          <w:color w:val="auto"/>
        </w:rPr>
        <w:t xml:space="preserve">Section 6. Conditions of the Obligations of the Underwriters. </w:t>
      </w:r>
      <w:r>
        <w:rPr>
          <w:rFonts w:ascii="Arial" w:cs="Arial" w:eastAsia="Arial" w:hAnsi="Arial"/>
          <w:sz w:val="19"/>
          <w:szCs w:val="19"/>
          <w:color w:val="auto"/>
        </w:rPr>
        <w:t>The respective obligations of the several</w:t>
      </w:r>
      <w:r>
        <w:rPr>
          <w:rFonts w:ascii="Arial" w:cs="Arial" w:eastAsia="Arial" w:hAnsi="Arial"/>
          <w:sz w:val="19"/>
          <w:szCs w:val="19"/>
          <w:b w:val="1"/>
          <w:bCs w:val="1"/>
          <w:color w:val="auto"/>
        </w:rPr>
        <w:t xml:space="preserve"> </w:t>
      </w:r>
      <w:r>
        <w:rPr>
          <w:rFonts w:ascii="Arial" w:cs="Arial" w:eastAsia="Arial" w:hAnsi="Arial"/>
          <w:sz w:val="19"/>
          <w:szCs w:val="19"/>
          <w:color w:val="auto"/>
        </w:rPr>
        <w:t>Underwriters hereunder 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72" w:lineRule="exact"/>
        <w:rPr>
          <w:sz w:val="20"/>
          <w:szCs w:val="20"/>
          <w:color w:val="auto"/>
        </w:rPr>
      </w:pPr>
    </w:p>
    <w:p>
      <w:pPr>
        <w:ind w:right="120" w:firstLine="1305"/>
        <w:spacing w:after="0" w:line="280" w:lineRule="auto"/>
        <w:tabs>
          <w:tab w:leader="none" w:pos="2089"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Comfort Letter. </w:t>
      </w:r>
      <w:r>
        <w:rPr>
          <w:rFonts w:ascii="Arial" w:cs="Arial" w:eastAsia="Arial" w:hAnsi="Arial"/>
          <w:sz w:val="19"/>
          <w:szCs w:val="19"/>
          <w:color w:val="auto"/>
        </w:rPr>
        <w:t>On the date hereof, the Representative shall have received from BDO China Shu Lun</w:t>
      </w:r>
      <w:r>
        <w:rPr>
          <w:rFonts w:ascii="Arial" w:cs="Arial" w:eastAsia="Arial" w:hAnsi="Arial"/>
          <w:sz w:val="19"/>
          <w:szCs w:val="19"/>
          <w:b w:val="1"/>
          <w:bCs w:val="1"/>
          <w:color w:val="auto"/>
        </w:rPr>
        <w:t xml:space="preserve"> </w:t>
      </w:r>
      <w:r>
        <w:rPr>
          <w:rFonts w:ascii="Arial" w:cs="Arial" w:eastAsia="Arial" w:hAnsi="Arial"/>
          <w:sz w:val="19"/>
          <w:szCs w:val="19"/>
          <w:color w:val="auto"/>
        </w:rPr>
        <w:t>Pan Certified Public Accountants LLP, independent registered public accountants for the 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2" w:lineRule="exact"/>
        <w:rPr>
          <w:rFonts w:ascii="Arial" w:cs="Arial" w:eastAsia="Arial" w:hAnsi="Arial"/>
          <w:sz w:val="19"/>
          <w:szCs w:val="19"/>
          <w:b w:val="1"/>
          <w:bCs w:val="1"/>
          <w:color w:val="auto"/>
        </w:rPr>
      </w:pPr>
    </w:p>
    <w:p>
      <w:pPr>
        <w:ind w:left="2100" w:hanging="795"/>
        <w:spacing w:after="0"/>
        <w:tabs>
          <w:tab w:leader="none" w:pos="21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Registration Requirements; No Stop Order; No Objection from FINRA.</w:t>
      </w:r>
    </w:p>
    <w:p>
      <w:pPr>
        <w:spacing w:after="0" w:line="239" w:lineRule="exact"/>
        <w:rPr>
          <w:rFonts w:ascii="Arial" w:cs="Arial" w:eastAsia="Arial" w:hAnsi="Arial"/>
          <w:sz w:val="22"/>
          <w:szCs w:val="22"/>
          <w:b w:val="1"/>
          <w:bCs w:val="1"/>
          <w:color w:val="auto"/>
        </w:rPr>
      </w:pPr>
    </w:p>
    <w:p>
      <w:pPr>
        <w:ind w:right="480" w:firstLine="1953"/>
        <w:spacing w:after="0"/>
        <w:tabs>
          <w:tab w:leader="none" w:pos="2685"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Company shall have filed the Prospectus with the Commission (including the information required by Rule 430B under the Securities Act) in the manner and within the time period required by Rule 424(b) under the Securities Act.</w:t>
      </w:r>
    </w:p>
    <w:p>
      <w:pPr>
        <w:spacing w:after="0" w:line="213" w:lineRule="exact"/>
        <w:rPr>
          <w:rFonts w:ascii="Arial" w:cs="Arial" w:eastAsia="Arial" w:hAnsi="Arial"/>
          <w:sz w:val="22"/>
          <w:szCs w:val="22"/>
          <w:color w:val="auto"/>
        </w:rPr>
      </w:pPr>
    </w:p>
    <w:p>
      <w:pPr>
        <w:jc w:val="both"/>
        <w:ind w:right="440" w:firstLine="1953"/>
        <w:spacing w:after="0"/>
        <w:tabs>
          <w:tab w:leader="none" w:pos="2749"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213" w:lineRule="exact"/>
        <w:rPr>
          <w:rFonts w:ascii="Arial" w:cs="Arial" w:eastAsia="Arial" w:hAnsi="Arial"/>
          <w:sz w:val="22"/>
          <w:szCs w:val="22"/>
          <w:color w:val="auto"/>
        </w:rPr>
      </w:pPr>
    </w:p>
    <w:p>
      <w:pPr>
        <w:ind w:left="2820" w:hanging="867"/>
        <w:spacing w:after="0"/>
        <w:tabs>
          <w:tab w:leader="none" w:pos="2820" w:val="left"/>
        </w:tabs>
        <w:numPr>
          <w:ilvl w:val="1"/>
          <w:numId w:val="27"/>
        </w:numPr>
        <w:rPr>
          <w:rFonts w:ascii="Arial" w:cs="Arial" w:eastAsia="Arial" w:hAnsi="Arial"/>
          <w:sz w:val="19"/>
          <w:szCs w:val="19"/>
          <w:color w:val="auto"/>
        </w:rPr>
      </w:pPr>
      <w:r>
        <w:rPr>
          <w:rFonts w:ascii="Arial" w:cs="Arial" w:eastAsia="Arial" w:hAnsi="Arial"/>
          <w:sz w:val="19"/>
          <w:szCs w:val="19"/>
          <w:color w:val="auto"/>
        </w:rPr>
        <w:t>FINRA shall have raised no objection to the fairness and reasonableness of the underwriting terms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arrangements.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4" w:name="page25"/>
    <w:bookmarkEnd w:id="24"/>
    <w:p>
      <w:pPr>
        <w:ind w:left="-8" w:right="80" w:firstLine="1305"/>
        <w:spacing w:after="0" w:line="239" w:lineRule="auto"/>
        <w:tabs>
          <w:tab w:leader="none" w:pos="2068"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Material Adverse Change or Ratings Agency Change. </w:t>
      </w:r>
      <w:r>
        <w:rPr>
          <w:rFonts w:ascii="Arial" w:cs="Arial" w:eastAsia="Arial" w:hAnsi="Arial"/>
          <w:sz w:val="22"/>
          <w:szCs w:val="22"/>
          <w:color w:val="auto"/>
        </w:rPr>
        <w:t>For the period from and after the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through and including the First Closing Date and, with respect to any Optional Shares purchased after the First Closing Date, each Option Closing Date, in the judgment of the Representative there shall not have occurred any Material Adverse Change.</w:t>
      </w:r>
    </w:p>
    <w:p>
      <w:pPr>
        <w:spacing w:after="0" w:line="208" w:lineRule="exact"/>
        <w:rPr>
          <w:rFonts w:ascii="Arial" w:cs="Arial" w:eastAsia="Arial" w:hAnsi="Arial"/>
          <w:sz w:val="22"/>
          <w:szCs w:val="22"/>
          <w:b w:val="1"/>
          <w:bCs w:val="1"/>
          <w:color w:val="auto"/>
        </w:rPr>
      </w:pPr>
    </w:p>
    <w:p>
      <w:pPr>
        <w:ind w:left="-8" w:right="40" w:firstLine="1305"/>
        <w:spacing w:after="0" w:line="243" w:lineRule="auto"/>
        <w:tabs>
          <w:tab w:leader="none" w:pos="2093"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Opinion of Counsel for the Company. </w:t>
      </w:r>
      <w:r>
        <w:rPr>
          <w:rFonts w:ascii="Arial" w:cs="Arial" w:eastAsia="Arial" w:hAnsi="Arial"/>
          <w:sz w:val="22"/>
          <w:szCs w:val="22"/>
          <w:color w:val="auto"/>
        </w:rPr>
        <w:t>On each of the First Closing Date and each Option Closing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 Representative shall have received the opinion of K&amp;L Gates LLP, counsel for the Company, dated as of such date, in form and substance satisfactory to the Representative and counsel to the Underwriters.</w:t>
      </w:r>
    </w:p>
    <w:p>
      <w:pPr>
        <w:spacing w:after="0" w:line="203" w:lineRule="exact"/>
        <w:rPr>
          <w:rFonts w:ascii="Arial" w:cs="Arial" w:eastAsia="Arial" w:hAnsi="Arial"/>
          <w:sz w:val="22"/>
          <w:szCs w:val="22"/>
          <w:b w:val="1"/>
          <w:bCs w:val="1"/>
          <w:color w:val="auto"/>
        </w:rPr>
      </w:pPr>
    </w:p>
    <w:p>
      <w:pPr>
        <w:ind w:left="-8" w:right="280" w:firstLine="1305"/>
        <w:spacing w:after="0" w:line="239" w:lineRule="auto"/>
        <w:tabs>
          <w:tab w:leader="none" w:pos="2068"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Opinion of Counsel for the Underwriters. </w:t>
      </w:r>
      <w:r>
        <w:rPr>
          <w:rFonts w:ascii="Arial" w:cs="Arial" w:eastAsia="Arial" w:hAnsi="Arial"/>
          <w:sz w:val="22"/>
          <w:szCs w:val="22"/>
          <w:color w:val="auto"/>
        </w:rPr>
        <w:t>On each of the First Closing Date and each Option Closing</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 Representative shall have received the negative assurance statement of Goodwin Procter LLP, counsel for the Underwriters in connection with the offer and sale of the Offered Shares, in form and substance satisfactory to the Underwriters, dated as of such date.</w:t>
      </w:r>
    </w:p>
    <w:p>
      <w:pPr>
        <w:spacing w:after="0" w:line="207" w:lineRule="exact"/>
        <w:rPr>
          <w:rFonts w:ascii="Arial" w:cs="Arial" w:eastAsia="Arial" w:hAnsi="Arial"/>
          <w:sz w:val="22"/>
          <w:szCs w:val="22"/>
          <w:b w:val="1"/>
          <w:bCs w:val="1"/>
          <w:color w:val="auto"/>
        </w:rPr>
      </w:pPr>
    </w:p>
    <w:p>
      <w:pPr>
        <w:ind w:left="-8" w:right="60" w:firstLine="1305"/>
        <w:spacing w:after="0" w:line="301" w:lineRule="auto"/>
        <w:tabs>
          <w:tab w:leader="none" w:pos="2045"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Officers’ Certificate. </w:t>
      </w:r>
      <w:r>
        <w:rPr>
          <w:rFonts w:ascii="Arial" w:cs="Arial" w:eastAsia="Arial" w:hAnsi="Arial"/>
          <w:sz w:val="19"/>
          <w:szCs w:val="19"/>
          <w:color w:val="auto"/>
        </w:rPr>
        <w:t>On each of the First Closing Date and each Option Closing Date, the Representative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received a certificate executed by the Chief Executive Officer and President of the Company and the Chief Financial Officer of the Company, dated as of such date, to the effect set forth in Section 6(b)(ii) and further to the effect that:</w:t>
      </w:r>
    </w:p>
    <w:p>
      <w:pPr>
        <w:spacing w:after="0" w:line="156" w:lineRule="exact"/>
        <w:rPr>
          <w:rFonts w:ascii="Arial" w:cs="Arial" w:eastAsia="Arial" w:hAnsi="Arial"/>
          <w:sz w:val="19"/>
          <w:szCs w:val="19"/>
          <w:b w:val="1"/>
          <w:bCs w:val="1"/>
          <w:color w:val="auto"/>
        </w:rPr>
      </w:pPr>
    </w:p>
    <w:p>
      <w:pPr>
        <w:ind w:left="-8" w:right="100" w:firstLine="1953"/>
        <w:spacing w:after="0" w:line="251" w:lineRule="auto"/>
        <w:tabs>
          <w:tab w:leader="none" w:pos="2681" w:val="left"/>
        </w:tabs>
        <w:numPr>
          <w:ilvl w:val="2"/>
          <w:numId w:val="28"/>
        </w:numPr>
        <w:rPr>
          <w:rFonts w:ascii="Arial" w:cs="Arial" w:eastAsia="Arial" w:hAnsi="Arial"/>
          <w:sz w:val="22"/>
          <w:szCs w:val="22"/>
          <w:color w:val="auto"/>
        </w:rPr>
      </w:pPr>
      <w:r>
        <w:rPr>
          <w:rFonts w:ascii="Arial" w:cs="Arial" w:eastAsia="Arial" w:hAnsi="Arial"/>
          <w:sz w:val="22"/>
          <w:szCs w:val="22"/>
          <w:color w:val="auto"/>
        </w:rPr>
        <w:t>for the period from and including the date of this Agreement through and including such date, there has not occurred any Material Adverse Change;</w:t>
      </w:r>
    </w:p>
    <w:p>
      <w:pPr>
        <w:spacing w:after="0" w:line="200" w:lineRule="exact"/>
        <w:rPr>
          <w:rFonts w:ascii="Arial" w:cs="Arial" w:eastAsia="Arial" w:hAnsi="Arial"/>
          <w:sz w:val="22"/>
          <w:szCs w:val="22"/>
          <w:color w:val="auto"/>
        </w:rPr>
      </w:pPr>
    </w:p>
    <w:p>
      <w:pPr>
        <w:ind w:left="-8" w:right="820" w:firstLine="1953"/>
        <w:spacing w:after="0" w:line="328" w:lineRule="auto"/>
        <w:tabs>
          <w:tab w:leader="none" w:pos="2741" w:val="left"/>
        </w:tabs>
        <w:numPr>
          <w:ilvl w:val="2"/>
          <w:numId w:val="28"/>
        </w:numPr>
        <w:rPr>
          <w:rFonts w:ascii="Arial" w:cs="Arial" w:eastAsia="Arial" w:hAnsi="Arial"/>
          <w:sz w:val="19"/>
          <w:szCs w:val="19"/>
          <w:color w:val="auto"/>
        </w:rPr>
      </w:pPr>
      <w:r>
        <w:rPr>
          <w:rFonts w:ascii="Arial" w:cs="Arial" w:eastAsia="Arial" w:hAnsi="Arial"/>
          <w:sz w:val="19"/>
          <w:szCs w:val="19"/>
          <w:color w:val="auto"/>
        </w:rPr>
        <w:t>the representations, warranties and covenants of the Company set forth in Section 1 of this Agreement are true and correct with the same force and effect as though expressly made on and as of such date; and</w:t>
      </w:r>
    </w:p>
    <w:p>
      <w:pPr>
        <w:spacing w:after="0" w:line="132" w:lineRule="exact"/>
        <w:rPr>
          <w:rFonts w:ascii="Arial" w:cs="Arial" w:eastAsia="Arial" w:hAnsi="Arial"/>
          <w:sz w:val="19"/>
          <w:szCs w:val="19"/>
          <w:color w:val="auto"/>
        </w:rPr>
      </w:pPr>
    </w:p>
    <w:p>
      <w:pPr>
        <w:ind w:left="-8" w:right="40" w:firstLine="1953"/>
        <w:spacing w:after="0" w:line="251" w:lineRule="auto"/>
        <w:tabs>
          <w:tab w:leader="none" w:pos="2801"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Company has complied with all the agreements hereunder and satisfied all the conditions on its part to be performed or satisfied hereunder at or prior to such date.</w:t>
      </w:r>
    </w:p>
    <w:p>
      <w:pPr>
        <w:spacing w:after="0" w:line="194" w:lineRule="exact"/>
        <w:rPr>
          <w:rFonts w:ascii="Arial" w:cs="Arial" w:eastAsia="Arial" w:hAnsi="Arial"/>
          <w:sz w:val="22"/>
          <w:szCs w:val="22"/>
          <w:color w:val="auto"/>
        </w:rPr>
      </w:pPr>
    </w:p>
    <w:p>
      <w:pPr>
        <w:ind w:left="-8" w:right="40" w:firstLine="1305"/>
        <w:spacing w:after="0" w:line="275" w:lineRule="auto"/>
        <w:tabs>
          <w:tab w:leader="none" w:pos="2081"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Bring-down Comfort Letter. </w:t>
      </w:r>
      <w:r>
        <w:rPr>
          <w:rFonts w:ascii="Arial" w:cs="Arial" w:eastAsia="Arial" w:hAnsi="Arial"/>
          <w:sz w:val="19"/>
          <w:szCs w:val="19"/>
          <w:color w:val="auto"/>
        </w:rPr>
        <w:t>On each of the First Closing Date and each Option Closing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shall have received from BDO China Shu Lun Pan Certified Public Accountants LLP, independent registered public accountants for the Company, a letter dated such date, in form and substance satisfactory to the Representative, which letter shall:</w:t>
      </w:r>
    </w:p>
    <w:p>
      <w:pPr>
        <w:spacing w:after="0" w:line="2" w:lineRule="exact"/>
        <w:rPr>
          <w:rFonts w:ascii="Arial" w:cs="Arial" w:eastAsia="Arial" w:hAnsi="Arial"/>
          <w:sz w:val="19"/>
          <w:szCs w:val="19"/>
          <w:b w:val="1"/>
          <w:bCs w:val="1"/>
          <w:color w:val="auto"/>
        </w:rPr>
      </w:pPr>
    </w:p>
    <w:p>
      <w:pPr>
        <w:ind w:left="-8" w:right="40" w:firstLine="8"/>
        <w:spacing w:after="0" w:line="233" w:lineRule="auto"/>
        <w:tabs>
          <w:tab w:leader="none" w:pos="25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included or incorporated by reference in the Prospectus.</w:t>
      </w:r>
    </w:p>
    <w:p>
      <w:pPr>
        <w:spacing w:after="0" w:line="209" w:lineRule="exact"/>
        <w:rPr>
          <w:rFonts w:ascii="Arial" w:cs="Arial" w:eastAsia="Arial" w:hAnsi="Arial"/>
          <w:sz w:val="22"/>
          <w:szCs w:val="22"/>
          <w:color w:val="auto"/>
        </w:rPr>
      </w:pPr>
    </w:p>
    <w:p>
      <w:pPr>
        <w:ind w:left="-8" w:right="360" w:firstLine="1305"/>
        <w:spacing w:after="0" w:line="261" w:lineRule="auto"/>
        <w:tabs>
          <w:tab w:leader="none" w:pos="2093" w:val="left"/>
        </w:tabs>
        <w:numPr>
          <w:ilvl w:val="1"/>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Lock-Up Agreements. </w:t>
      </w:r>
      <w:r>
        <w:rPr>
          <w:rFonts w:ascii="Arial" w:cs="Arial" w:eastAsia="Arial" w:hAnsi="Arial"/>
          <w:sz w:val="21"/>
          <w:szCs w:val="21"/>
          <w:color w:val="auto"/>
        </w:rPr>
        <w:t>On or prior to the date hereof, the Company shall have furnished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Representative an agreement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from each of the persons listed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and each such agreement shall be in full force and effect on each of the First Closing Date and each Option Closing Date.</w:t>
      </w:r>
    </w:p>
    <w:p>
      <w:pPr>
        <w:spacing w:after="0" w:line="184" w:lineRule="exact"/>
        <w:rPr>
          <w:rFonts w:ascii="Arial" w:cs="Arial" w:eastAsia="Arial" w:hAnsi="Arial"/>
          <w:sz w:val="21"/>
          <w:szCs w:val="21"/>
          <w:b w:val="1"/>
          <w:bCs w:val="1"/>
          <w:color w:val="auto"/>
        </w:rPr>
      </w:pPr>
    </w:p>
    <w:p>
      <w:pPr>
        <w:ind w:left="-8" w:right="180" w:firstLine="1305"/>
        <w:spacing w:after="0" w:line="301" w:lineRule="auto"/>
        <w:tabs>
          <w:tab w:leader="none" w:pos="2087" w:val="left"/>
        </w:tabs>
        <w:numPr>
          <w:ilvl w:val="1"/>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Rule 462(b) Registration Statement. </w:t>
      </w:r>
      <w:r>
        <w:rPr>
          <w:rFonts w:ascii="Arial" w:cs="Arial" w:eastAsia="Arial" w:hAnsi="Arial"/>
          <w:sz w:val="19"/>
          <w:szCs w:val="19"/>
          <w:color w:val="auto"/>
        </w:rPr>
        <w:t>In the event that a Rule 462(b) Registration Statement is filed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offering contemplated by this Agreement, such Rule 462(b) Registration Statement shall have been filed with the Commission on the date of this Agreement and shall have become effective automatically upon such filing.</w:t>
      </w:r>
    </w:p>
    <w:p>
      <w:pPr>
        <w:spacing w:after="0" w:line="150" w:lineRule="exact"/>
        <w:rPr>
          <w:rFonts w:ascii="Arial" w:cs="Arial" w:eastAsia="Arial" w:hAnsi="Arial"/>
          <w:sz w:val="19"/>
          <w:szCs w:val="19"/>
          <w:b w:val="1"/>
          <w:bCs w:val="1"/>
          <w:color w:val="auto"/>
        </w:rPr>
      </w:pPr>
    </w:p>
    <w:p>
      <w:pPr>
        <w:ind w:left="-8" w:firstLine="1305"/>
        <w:spacing w:after="0" w:line="256" w:lineRule="auto"/>
        <w:tabs>
          <w:tab w:leader="none" w:pos="2099"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Approval of Listing</w:t>
      </w:r>
      <w:r>
        <w:rPr>
          <w:rFonts w:ascii="Arial" w:cs="Arial" w:eastAsia="Arial" w:hAnsi="Arial"/>
          <w:sz w:val="22"/>
          <w:szCs w:val="22"/>
          <w:color w:val="auto"/>
        </w:rPr>
        <w:t>. At the First Closing Date, the Offered Shares shall have been approved for listing on</w:t>
      </w:r>
      <w:r>
        <w:rPr>
          <w:rFonts w:ascii="Arial" w:cs="Arial" w:eastAsia="Arial" w:hAnsi="Arial"/>
          <w:sz w:val="22"/>
          <w:szCs w:val="22"/>
          <w:b w:val="1"/>
          <w:bCs w:val="1"/>
          <w:color w:val="auto"/>
        </w:rPr>
        <w:t xml:space="preserve"> </w:t>
      </w:r>
      <w:r>
        <w:rPr>
          <w:rFonts w:ascii="Arial" w:cs="Arial" w:eastAsia="Arial" w:hAnsi="Arial"/>
          <w:sz w:val="22"/>
          <w:szCs w:val="22"/>
          <w:color w:val="auto"/>
        </w:rPr>
        <w:t>the Nasdaq, subject only to official notice of issuance.</w:t>
      </w:r>
    </w:p>
    <w:p>
      <w:pPr>
        <w:spacing w:after="0" w:line="12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11" w:right="259" w:bottom="1440" w:gutter="0" w:footer="0" w:header="0"/>
        </w:sectPr>
      </w:pPr>
    </w:p>
    <w:bookmarkStart w:id="25" w:name="page26"/>
    <w:bookmarkEnd w:id="25"/>
    <w:p>
      <w:pPr>
        <w:ind w:right="40" w:firstLine="1305"/>
        <w:spacing w:after="0" w:line="278" w:lineRule="auto"/>
        <w:tabs>
          <w:tab w:leader="none" w:pos="2101"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Documents</w:t>
      </w:r>
      <w:r>
        <w:rPr>
          <w:rFonts w:ascii="Arial" w:cs="Arial" w:eastAsia="Arial" w:hAnsi="Arial"/>
          <w:sz w:val="19"/>
          <w:szCs w:val="19"/>
          <w:color w:val="auto"/>
        </w:rPr>
        <w:t>. On or before each of the First Closing Date and each Option Closing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 and counsel for the Underwriters.</w:t>
      </w:r>
    </w:p>
    <w:p>
      <w:pPr>
        <w:spacing w:after="0" w:line="179"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If any condition specified in this Section 6 is not satisfied when and as required to be satisfied, this Agreement may be terminated by the Representative by notice from the Representative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200"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b w:val="1"/>
          <w:bCs w:val="1"/>
          <w:color w:val="auto"/>
        </w:rPr>
        <w:t>Section 7. Reimbursement of Underwriters’ Expenses</w:t>
      </w:r>
      <w:r>
        <w:rPr>
          <w:rFonts w:ascii="Arial" w:cs="Arial" w:eastAsia="Arial" w:hAnsi="Arial"/>
          <w:sz w:val="19"/>
          <w:szCs w:val="19"/>
          <w:color w:val="auto"/>
        </w:rPr>
        <w:t>. If this Agreement is terminated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Representative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Shares, including, but not limited to, fees and disbursements of counsel, printing expenses, travel expenses, postage, facsimile and telephone charges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any such termination is effected after the First Closing Date but prior to any Option Closing Date with respect to the purchase of any Optional Shares, the Company shall only reimburse the Underwriters for all of their out-of-pocket expenses, including the reasonable fees and disbursements of counsel for the Underwriters, incurred after the First Closing Date in connection with the proposed purchase of any such Optional Shares. For the avoidance of doubt, it is understood that the Company will not pay or reimburse any costs, fees or expenses incurred by any Underwriter that defaults on its obligations to purchase the Offered Shares.</w:t>
      </w:r>
    </w:p>
    <w:p>
      <w:pPr>
        <w:spacing w:after="0" w:line="184"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Section 8. Effectiveness of this Agreement</w:t>
      </w:r>
      <w:r>
        <w:rPr>
          <w:rFonts w:ascii="Arial" w:cs="Arial" w:eastAsia="Arial" w:hAnsi="Arial"/>
          <w:sz w:val="22"/>
          <w:szCs w:val="22"/>
          <w:color w:val="auto"/>
        </w:rPr>
        <w:t>. This Agreement shall become effective upon the execution and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hereof by the parties hereto.</w:t>
      </w:r>
    </w:p>
    <w:p>
      <w:pPr>
        <w:spacing w:after="0" w:line="19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69" w:lineRule="auto"/>
        <w:tabs>
          <w:tab w:leader="none" w:pos="2089"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of the Underwriters. </w:t>
      </w:r>
      <w:r>
        <w:rPr>
          <w:rFonts w:ascii="Arial" w:cs="Arial" w:eastAsia="Arial" w:hAnsi="Arial"/>
          <w:sz w:val="19"/>
          <w:szCs w:val="19"/>
          <w:color w:val="auto"/>
        </w:rPr>
        <w:t>The Company agrees to indemnify and hold harmless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ectPr>
          <w:pgSz w:w="11900" w:h="16838" w:orient="portrait"/>
          <w:cols w:equalWidth="0" w:num="1">
            <w:col w:w="11400"/>
          </w:cols>
          <w:pgMar w:left="240" w:top="355" w:right="25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26" w:name="page27"/>
    <w:bookmarkEnd w:id="26"/>
    <w:p>
      <w:pPr>
        <w:ind w:left="-40" w:firstLine="1305"/>
        <w:spacing w:after="0" w:line="269" w:lineRule="auto"/>
        <w:tabs>
          <w:tab w:leader="none" w:pos="2061"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of the Company, its Directors and Officers</w:t>
      </w:r>
      <w:r>
        <w:rPr>
          <w:rFonts w:ascii="Arial" w:cs="Arial" w:eastAsia="Arial" w:hAnsi="Arial"/>
          <w:sz w:val="19"/>
          <w:szCs w:val="19"/>
          <w:color w:val="auto"/>
        </w:rPr>
        <w:t>. Each Underwriter agrees, severally and</w:t>
      </w:r>
      <w:r>
        <w:rPr>
          <w:rFonts w:ascii="Arial" w:cs="Arial" w:eastAsia="Arial" w:hAnsi="Arial"/>
          <w:sz w:val="19"/>
          <w:szCs w:val="19"/>
          <w:b w:val="1"/>
          <w:bCs w:val="1"/>
          <w:color w:val="auto"/>
        </w:rPr>
        <w:t xml:space="preserve"> </w:t>
      </w:r>
      <w:r>
        <w:rPr>
          <w:rFonts w:ascii="Arial" w:cs="Arial" w:eastAsia="Arial" w:hAnsi="Arial"/>
          <w:sz w:val="19"/>
          <w:szCs w:val="19"/>
          <w:color w:val="auto"/>
        </w:rPr>
        <w:t>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following paragraphs under the caption “Underwriting” in the Preliminary Prospectus and the Prospectus: (i) the first paragraph under “Commissions and Discounts” and (ii) the paragraphs under “Short Sales, Stabilizing Transactions, and Penalty Bids.” The indemnity agreement set forth in this Section 9(b) shall be in addition to any liabilities that each Underwriter may otherwise have.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11" w:right="279" w:bottom="1440" w:gutter="0" w:footer="0" w:header="0"/>
        </w:sectPr>
      </w:pPr>
    </w:p>
    <w:bookmarkStart w:id="27" w:name="page28"/>
    <w:bookmarkEnd w:id="27"/>
    <w:p>
      <w:pPr>
        <w:ind w:left="-20" w:firstLine="1305"/>
        <w:spacing w:after="0" w:line="269" w:lineRule="auto"/>
        <w:tabs>
          <w:tab w:leader="none" w:pos="2056"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Notifications and Other Indemnification Procedures. </w:t>
      </w:r>
      <w:r>
        <w:rPr>
          <w:rFonts w:ascii="Arial" w:cs="Arial" w:eastAsia="Arial" w:hAnsi="Arial"/>
          <w:sz w:val="19"/>
          <w:szCs w:val="19"/>
          <w:color w:val="auto"/>
        </w:rPr>
        <w:t>Promptly after receipt by an indemnified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this Section 9 of notice of the commencement of any action, such indemnified party will, if a claim in respect thereof is to be made against an indemnifying party under this Section 9,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81" w:lineRule="exact"/>
        <w:rPr>
          <w:rFonts w:ascii="Arial" w:cs="Arial" w:eastAsia="Arial" w:hAnsi="Arial"/>
          <w:sz w:val="19"/>
          <w:szCs w:val="19"/>
          <w:b w:val="1"/>
          <w:bCs w:val="1"/>
          <w:color w:val="auto"/>
        </w:rPr>
      </w:pPr>
    </w:p>
    <w:p>
      <w:pPr>
        <w:ind w:left="-20" w:right="40" w:firstLine="656"/>
        <w:spacing w:after="0" w:line="272" w:lineRule="auto"/>
        <w:tabs>
          <w:tab w:leader="none" w:pos="1432"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Settlements. </w:t>
      </w:r>
      <w:r>
        <w:rPr>
          <w:rFonts w:ascii="Arial" w:cs="Arial" w:eastAsia="Arial" w:hAnsi="Arial"/>
          <w:sz w:val="19"/>
          <w:szCs w:val="19"/>
          <w:color w:val="auto"/>
        </w:rPr>
        <w:t>The indemnifying party under this Section 9 shall not be liable for any settlement of any proceeding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11" w:right="239" w:bottom="1440" w:gutter="0" w:footer="0" w:header="0"/>
        </w:sectPr>
      </w:pPr>
    </w:p>
    <w:bookmarkStart w:id="28" w:name="page29"/>
    <w:bookmarkEnd w:id="28"/>
    <w:p>
      <w:pPr>
        <w:ind w:right="40" w:firstLine="648"/>
        <w:spacing w:after="0" w:line="270" w:lineRule="auto"/>
        <w:rPr>
          <w:sz w:val="20"/>
          <w:szCs w:val="20"/>
          <w:color w:val="auto"/>
        </w:rPr>
      </w:pPr>
      <w:r>
        <w:rPr>
          <w:rFonts w:ascii="Arial" w:cs="Arial" w:eastAsia="Arial" w:hAnsi="Arial"/>
          <w:sz w:val="19"/>
          <w:szCs w:val="19"/>
          <w:b w:val="1"/>
          <w:bCs w:val="1"/>
          <w:color w:val="auto"/>
        </w:rPr>
        <w:t>Section 10. Contribution</w:t>
      </w:r>
      <w:r>
        <w:rPr>
          <w:rFonts w:ascii="Arial" w:cs="Arial" w:eastAsia="Arial" w:hAnsi="Arial"/>
          <w:sz w:val="19"/>
          <w:szCs w:val="19"/>
          <w:color w:val="auto"/>
        </w:rPr>
        <w:t>. If the indemnification provided for in Section 9 is for any reason held to be unavailable to</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44" w:lineRule="exact"/>
        <w:rPr>
          <w:sz w:val="20"/>
          <w:szCs w:val="20"/>
          <w:color w:val="auto"/>
        </w:rPr>
      </w:pPr>
    </w:p>
    <w:p>
      <w:pPr>
        <w:ind w:right="200" w:firstLine="648"/>
        <w:spacing w:after="0" w:line="248"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Arial" w:cs="Arial" w:eastAsia="Arial" w:hAnsi="Arial"/>
          <w:sz w:val="21"/>
          <w:szCs w:val="21"/>
          <w:i w:val="1"/>
          <w:iCs w:val="1"/>
          <w:color w:val="auto"/>
        </w:rPr>
        <w:t xml:space="preserve">provided, however, </w:t>
      </w:r>
      <w:r>
        <w:rPr>
          <w:rFonts w:ascii="Arial" w:cs="Arial" w:eastAsia="Arial" w:hAnsi="Arial"/>
          <w:sz w:val="21"/>
          <w:szCs w:val="21"/>
          <w:color w:val="auto"/>
        </w:rPr>
        <w:t>that no additional notice shall be required with respect to any action for which notice has been given under</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9(c) for purposes of indemnification.</w:t>
      </w:r>
    </w:p>
    <w:p>
      <w:pPr>
        <w:spacing w:after="0" w:line="204"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21"/>
          <w:szCs w:val="21"/>
          <w:u w:val="single" w:color="auto"/>
          <w:color w:val="auto"/>
        </w:rPr>
        <w:t>Schedule A</w:t>
      </w:r>
      <w:r>
        <w:rPr>
          <w:rFonts w:ascii="Arial" w:cs="Arial" w:eastAsia="Arial" w:hAnsi="Arial"/>
          <w:sz w:val="21"/>
          <w:szCs w:val="21"/>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ind w:firstLine="1297"/>
        <w:spacing w:after="0" w:line="270" w:lineRule="auto"/>
        <w:rPr>
          <w:sz w:val="20"/>
          <w:szCs w:val="20"/>
          <w:color w:val="auto"/>
        </w:rPr>
      </w:pPr>
      <w:r>
        <w:rPr>
          <w:rFonts w:ascii="Arial" w:cs="Arial" w:eastAsia="Arial" w:hAnsi="Arial"/>
          <w:sz w:val="19"/>
          <w:szCs w:val="19"/>
          <w:b w:val="1"/>
          <w:bCs w:val="1"/>
          <w:color w:val="auto"/>
        </w:rPr>
        <w:t>Section 11. Default of One or More of the Several Underwriters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on the First Closing Date 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bears to the aggregate number of Firm Shares set forth opposite the names of all such non-defaulting Underwriters, or in such other proportions as may be specified by the Representative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(except with respect to any defaulting Underwriter hereunder).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92" w:lineRule="exact"/>
        <w:rPr>
          <w:sz w:val="20"/>
          <w:szCs w:val="20"/>
          <w:color w:val="auto"/>
        </w:rPr>
      </w:pPr>
    </w:p>
    <w:p>
      <w:pPr>
        <w:ind w:right="480" w:firstLine="648"/>
        <w:spacing w:after="0" w:line="243" w:lineRule="auto"/>
        <w:rPr>
          <w:sz w:val="20"/>
          <w:szCs w:val="20"/>
          <w:color w:val="auto"/>
        </w:rPr>
      </w:pPr>
      <w:r>
        <w:rPr>
          <w:rFonts w:ascii="Arial" w:cs="Arial" w:eastAsia="Arial" w:hAnsi="Arial"/>
          <w:sz w:val="22"/>
          <w:szCs w:val="22"/>
          <w:color w:val="auto"/>
        </w:rPr>
        <w:t>As used in this Agreement, the term “</w:t>
      </w:r>
      <w:r>
        <w:rPr>
          <w:rFonts w:ascii="Arial" w:cs="Arial" w:eastAsia="Arial" w:hAnsi="Arial"/>
          <w:sz w:val="22"/>
          <w:szCs w:val="22"/>
          <w:b w:val="1"/>
          <w:bCs w:val="1"/>
          <w:color w:val="auto"/>
        </w:rPr>
        <w:t>Underwriter</w:t>
      </w:r>
      <w:r>
        <w:rPr>
          <w:rFonts w:ascii="Arial" w:cs="Arial" w:eastAsia="Arial" w:hAnsi="Arial"/>
          <w:sz w:val="22"/>
          <w:szCs w:val="22"/>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b w:val="1"/>
          <w:bCs w:val="1"/>
          <w:color w:val="auto"/>
        </w:rPr>
        <w:t>Section 12. Termination of this Agreement</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purchase of the Firm Shares by the Underwriters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First Closing Date, this Agreement may be terminated by the Representative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U.S.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Shares in the manner and on the terms described in the Time of Sale Prospectus or the Prospectus; (iv) in the judgment of the Representative there shall have occurred any Material Adverse Change; or</w:t>
      </w:r>
    </w:p>
    <w:p>
      <w:pPr>
        <w:spacing w:after="0" w:line="4" w:lineRule="exact"/>
        <w:rPr>
          <w:sz w:val="20"/>
          <w:szCs w:val="20"/>
          <w:color w:val="auto"/>
        </w:rPr>
      </w:pPr>
    </w:p>
    <w:p>
      <w:pPr>
        <w:ind w:right="20" w:firstLine="8"/>
        <w:spacing w:after="0" w:line="275" w:lineRule="auto"/>
        <w:tabs>
          <w:tab w:leader="none" w:pos="306"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 and the Underwriters pursuant to Section 4 or Section 7 hereof or (b) any Underwriter to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the provisions of Section 9 and Section 10 shall at all times be effective and shall survive such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0" w:name="page31"/>
    <w:bookmarkEnd w:id="30"/>
    <w:p>
      <w:pPr>
        <w:ind w:right="20" w:firstLine="648"/>
        <w:spacing w:after="0" w:line="272" w:lineRule="auto"/>
        <w:rPr>
          <w:sz w:val="20"/>
          <w:szCs w:val="20"/>
          <w:color w:val="auto"/>
        </w:rPr>
      </w:pPr>
      <w:r>
        <w:rPr>
          <w:rFonts w:ascii="Arial" w:cs="Arial" w:eastAsia="Arial" w:hAnsi="Arial"/>
          <w:sz w:val="19"/>
          <w:szCs w:val="19"/>
          <w:b w:val="1"/>
          <w:bCs w:val="1"/>
          <w:color w:val="auto"/>
        </w:rPr>
        <w:t xml:space="preserve">Section 13. No Advisory or Fiduciary Relationship. </w:t>
      </w:r>
      <w:r>
        <w:rPr>
          <w:rFonts w:ascii="Arial" w:cs="Arial" w:eastAsia="Arial" w:hAnsi="Arial"/>
          <w:sz w:val="19"/>
          <w:szCs w:val="19"/>
          <w:color w:val="auto"/>
        </w:rPr>
        <w:t>The Company acknowledges and agrees that (a) the purchase</w:t>
      </w:r>
      <w:r>
        <w:rPr>
          <w:rFonts w:ascii="Arial" w:cs="Arial" w:eastAsia="Arial" w:hAnsi="Arial"/>
          <w:sz w:val="19"/>
          <w:szCs w:val="19"/>
          <w:b w:val="1"/>
          <w:bCs w:val="1"/>
          <w:color w:val="auto"/>
        </w:rPr>
        <w:t xml:space="preserve"> </w:t>
      </w:r>
      <w:r>
        <w:rPr>
          <w:rFonts w:ascii="Arial" w:cs="Arial" w:eastAsia="Arial" w:hAnsi="Arial"/>
          <w:sz w:val="19"/>
          <w:szCs w:val="19"/>
          <w:color w:val="auto"/>
        </w:rPr>
        <w:t>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5"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Representations and Indemnities to Survive Delivery</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respective indemnities, agreements,</w:t>
      </w:r>
    </w:p>
    <w:p>
      <w:pPr>
        <w:spacing w:after="0" w:line="1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207" w:lineRule="exact"/>
        <w:rPr>
          <w:sz w:val="20"/>
          <w:szCs w:val="20"/>
          <w:color w:val="auto"/>
        </w:rPr>
      </w:pPr>
    </w:p>
    <w:p>
      <w:pPr>
        <w:ind w:right="680" w:firstLine="648"/>
        <w:spacing w:after="0" w:line="256" w:lineRule="auto"/>
        <w:rPr>
          <w:sz w:val="20"/>
          <w:szCs w:val="20"/>
          <w:color w:val="auto"/>
        </w:rPr>
      </w:pPr>
      <w:r>
        <w:rPr>
          <w:rFonts w:ascii="Arial" w:cs="Arial" w:eastAsia="Arial" w:hAnsi="Arial"/>
          <w:sz w:val="22"/>
          <w:szCs w:val="22"/>
          <w:b w:val="1"/>
          <w:bCs w:val="1"/>
          <w:color w:val="auto"/>
        </w:rPr>
        <w:t>Section 15. Notices</w:t>
      </w:r>
      <w:r>
        <w:rPr>
          <w:rFonts w:ascii="Arial" w:cs="Arial" w:eastAsia="Arial" w:hAnsi="Arial"/>
          <w:sz w:val="22"/>
          <w:szCs w:val="22"/>
          <w:color w:val="auto"/>
        </w:rPr>
        <w:t>. All communications hereunder shall be in writing and shall be mailed, hand delivered or</w:t>
      </w:r>
      <w:r>
        <w:rPr>
          <w:rFonts w:ascii="Arial" w:cs="Arial" w:eastAsia="Arial" w:hAnsi="Arial"/>
          <w:sz w:val="22"/>
          <w:szCs w:val="22"/>
          <w:b w:val="1"/>
          <w:bCs w:val="1"/>
          <w:color w:val="auto"/>
        </w:rPr>
        <w:t xml:space="preserve"> </w:t>
      </w:r>
      <w:r>
        <w:rPr>
          <w:rFonts w:ascii="Arial" w:cs="Arial" w:eastAsia="Arial" w:hAnsi="Arial"/>
          <w:sz w:val="22"/>
          <w:szCs w:val="22"/>
          <w:color w:val="auto"/>
        </w:rPr>
        <w:t>telecopied and confirmed to the parties hereto as follows:</w:t>
      </w:r>
    </w:p>
    <w:p>
      <w:pPr>
        <w:spacing w:after="0" w:line="203"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If to the Representative:</w:t>
            </w: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w w:val="91"/>
              </w:rPr>
              <w:t>Stifel, Nicolaus &amp; Company, Incorporated</w:t>
            </w:r>
          </w:p>
        </w:tc>
      </w:tr>
      <w:tr>
        <w:trPr>
          <w:trHeight w:val="216"/>
        </w:trPr>
        <w:tc>
          <w:tcPr>
            <w:tcW w:w="3540" w:type="dxa"/>
            <w:vAlign w:val="bottom"/>
          </w:tcPr>
          <w:p>
            <w:pPr>
              <w:spacing w:after="0"/>
              <w:rPr>
                <w:sz w:val="18"/>
                <w:szCs w:val="18"/>
                <w:color w:val="auto"/>
              </w:rPr>
            </w:pP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One Montgomery Street</w:t>
            </w:r>
          </w:p>
        </w:tc>
      </w:tr>
      <w:tr>
        <w:trPr>
          <w:trHeight w:val="216"/>
        </w:trPr>
        <w:tc>
          <w:tcPr>
            <w:tcW w:w="3540" w:type="dxa"/>
            <w:vAlign w:val="bottom"/>
          </w:tcPr>
          <w:p>
            <w:pPr>
              <w:spacing w:after="0"/>
              <w:rPr>
                <w:sz w:val="18"/>
                <w:szCs w:val="18"/>
                <w:color w:val="auto"/>
              </w:rPr>
            </w:pPr>
          </w:p>
        </w:tc>
        <w:tc>
          <w:tcPr>
            <w:tcW w:w="2620" w:type="dxa"/>
            <w:vAlign w:val="bottom"/>
          </w:tcPr>
          <w:p>
            <w:pPr>
              <w:ind w:left="1820"/>
              <w:spacing w:after="0"/>
              <w:rPr>
                <w:sz w:val="20"/>
                <w:szCs w:val="20"/>
                <w:color w:val="auto"/>
              </w:rPr>
            </w:pPr>
            <w:r>
              <w:rPr>
                <w:rFonts w:ascii="Arial" w:cs="Arial" w:eastAsia="Arial" w:hAnsi="Arial"/>
                <w:sz w:val="18"/>
                <w:szCs w:val="18"/>
                <w:color w:val="auto"/>
                <w:w w:val="90"/>
              </w:rPr>
              <w:t>Suite 3700</w:t>
            </w:r>
          </w:p>
        </w:tc>
        <w:tc>
          <w:tcPr>
            <w:tcW w:w="22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San Francisco, California 94104</w:t>
            </w:r>
          </w:p>
        </w:tc>
      </w:tr>
      <w:tr>
        <w:trPr>
          <w:trHeight w:val="216"/>
        </w:trPr>
        <w:tc>
          <w:tcPr>
            <w:tcW w:w="3540" w:type="dxa"/>
            <w:vAlign w:val="bottom"/>
          </w:tcPr>
          <w:p>
            <w:pPr>
              <w:spacing w:after="0"/>
              <w:rPr>
                <w:sz w:val="18"/>
                <w:szCs w:val="18"/>
                <w:color w:val="auto"/>
              </w:rPr>
            </w:pPr>
          </w:p>
        </w:tc>
        <w:tc>
          <w:tcPr>
            <w:tcW w:w="2620" w:type="dxa"/>
            <w:vAlign w:val="bottom"/>
          </w:tcPr>
          <w:p>
            <w:pPr>
              <w:ind w:left="1820"/>
              <w:spacing w:after="0"/>
              <w:rPr>
                <w:sz w:val="20"/>
                <w:szCs w:val="20"/>
                <w:color w:val="auto"/>
              </w:rPr>
            </w:pPr>
            <w:r>
              <w:rPr>
                <w:rFonts w:ascii="Arial" w:cs="Arial" w:eastAsia="Arial" w:hAnsi="Arial"/>
                <w:sz w:val="18"/>
                <w:szCs w:val="18"/>
                <w:color w:val="auto"/>
                <w:w w:val="96"/>
              </w:rPr>
              <w:t>Facsimile:</w:t>
            </w:r>
          </w:p>
        </w:tc>
        <w:tc>
          <w:tcPr>
            <w:tcW w:w="2240" w:type="dxa"/>
            <w:vAlign w:val="bottom"/>
          </w:tcPr>
          <w:p>
            <w:pPr>
              <w:ind w:left="40"/>
              <w:spacing w:after="0"/>
              <w:rPr>
                <w:sz w:val="20"/>
                <w:szCs w:val="20"/>
                <w:color w:val="auto"/>
              </w:rPr>
            </w:pPr>
            <w:r>
              <w:rPr>
                <w:rFonts w:ascii="Arial" w:cs="Arial" w:eastAsia="Arial" w:hAnsi="Arial"/>
                <w:sz w:val="18"/>
                <w:szCs w:val="18"/>
                <w:color w:val="auto"/>
              </w:rPr>
              <w:t>(415) 364-2868</w:t>
            </w:r>
          </w:p>
        </w:tc>
      </w:tr>
      <w:tr>
        <w:trPr>
          <w:trHeight w:val="230"/>
        </w:trPr>
        <w:tc>
          <w:tcPr>
            <w:tcW w:w="3540" w:type="dxa"/>
            <w:vAlign w:val="bottom"/>
          </w:tcPr>
          <w:p>
            <w:pPr>
              <w:spacing w:after="0"/>
              <w:rPr>
                <w:sz w:val="20"/>
                <w:szCs w:val="20"/>
                <w:color w:val="auto"/>
              </w:rPr>
            </w:pP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Attention: General Counsel</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with a copy to:</w:t>
            </w: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Goodwin Procter LLP</w:t>
            </w:r>
          </w:p>
        </w:tc>
      </w:tr>
      <w:tr>
        <w:trPr>
          <w:trHeight w:val="216"/>
        </w:trPr>
        <w:tc>
          <w:tcPr>
            <w:tcW w:w="3540" w:type="dxa"/>
            <w:vAlign w:val="bottom"/>
          </w:tcPr>
          <w:p>
            <w:pPr>
              <w:spacing w:after="0"/>
              <w:rPr>
                <w:sz w:val="18"/>
                <w:szCs w:val="18"/>
                <w:color w:val="auto"/>
              </w:rPr>
            </w:pP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The New York Times Building</w:t>
            </w:r>
          </w:p>
        </w:tc>
      </w:tr>
      <w:tr>
        <w:trPr>
          <w:trHeight w:val="216"/>
        </w:trPr>
        <w:tc>
          <w:tcPr>
            <w:tcW w:w="3540" w:type="dxa"/>
            <w:vAlign w:val="bottom"/>
          </w:tcPr>
          <w:p>
            <w:pPr>
              <w:spacing w:after="0"/>
              <w:rPr>
                <w:sz w:val="18"/>
                <w:szCs w:val="18"/>
                <w:color w:val="auto"/>
              </w:rPr>
            </w:pP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620 Eighth Avenue</w:t>
            </w:r>
          </w:p>
        </w:tc>
      </w:tr>
      <w:tr>
        <w:trPr>
          <w:trHeight w:val="216"/>
        </w:trPr>
        <w:tc>
          <w:tcPr>
            <w:tcW w:w="3540" w:type="dxa"/>
            <w:vAlign w:val="bottom"/>
          </w:tcPr>
          <w:p>
            <w:pPr>
              <w:spacing w:after="0"/>
              <w:rPr>
                <w:sz w:val="18"/>
                <w:szCs w:val="18"/>
                <w:color w:val="auto"/>
              </w:rPr>
            </w:pPr>
          </w:p>
        </w:tc>
        <w:tc>
          <w:tcPr>
            <w:tcW w:w="4860" w:type="dxa"/>
            <w:vAlign w:val="bottom"/>
            <w:gridSpan w:val="2"/>
          </w:tcPr>
          <w:p>
            <w:pPr>
              <w:ind w:left="1820"/>
              <w:spacing w:after="0"/>
              <w:rPr>
                <w:sz w:val="20"/>
                <w:szCs w:val="20"/>
                <w:color w:val="auto"/>
              </w:rPr>
            </w:pPr>
            <w:r>
              <w:rPr>
                <w:rFonts w:ascii="Arial" w:cs="Arial" w:eastAsia="Arial" w:hAnsi="Arial"/>
                <w:sz w:val="18"/>
                <w:szCs w:val="18"/>
                <w:color w:val="auto"/>
              </w:rPr>
              <w:t>New York, New York 10018</w:t>
            </w:r>
          </w:p>
        </w:tc>
      </w:tr>
      <w:tr>
        <w:trPr>
          <w:trHeight w:val="216"/>
        </w:trPr>
        <w:tc>
          <w:tcPr>
            <w:tcW w:w="3540" w:type="dxa"/>
            <w:vAlign w:val="bottom"/>
          </w:tcPr>
          <w:p>
            <w:pPr>
              <w:spacing w:after="0"/>
              <w:rPr>
                <w:sz w:val="18"/>
                <w:szCs w:val="18"/>
                <w:color w:val="auto"/>
              </w:rPr>
            </w:pPr>
          </w:p>
        </w:tc>
        <w:tc>
          <w:tcPr>
            <w:tcW w:w="2620" w:type="dxa"/>
            <w:vAlign w:val="bottom"/>
          </w:tcPr>
          <w:p>
            <w:pPr>
              <w:ind w:left="1820"/>
              <w:spacing w:after="0"/>
              <w:rPr>
                <w:sz w:val="20"/>
                <w:szCs w:val="20"/>
                <w:color w:val="auto"/>
              </w:rPr>
            </w:pPr>
            <w:r>
              <w:rPr>
                <w:rFonts w:ascii="Arial" w:cs="Arial" w:eastAsia="Arial" w:hAnsi="Arial"/>
                <w:sz w:val="18"/>
                <w:szCs w:val="18"/>
                <w:color w:val="auto"/>
                <w:w w:val="96"/>
              </w:rPr>
              <w:t>Facsimile:</w:t>
            </w:r>
          </w:p>
        </w:tc>
        <w:tc>
          <w:tcPr>
            <w:tcW w:w="2240" w:type="dxa"/>
            <w:vAlign w:val="bottom"/>
          </w:tcPr>
          <w:p>
            <w:pPr>
              <w:ind w:left="40"/>
              <w:spacing w:after="0"/>
              <w:rPr>
                <w:sz w:val="20"/>
                <w:szCs w:val="20"/>
                <w:color w:val="auto"/>
              </w:rPr>
            </w:pPr>
            <w:r>
              <w:rPr>
                <w:rFonts w:ascii="Arial" w:cs="Arial" w:eastAsia="Arial" w:hAnsi="Arial"/>
                <w:sz w:val="18"/>
                <w:szCs w:val="18"/>
                <w:color w:val="auto"/>
              </w:rPr>
              <w:t>(212) 813-8800</w:t>
            </w:r>
          </w:p>
        </w:tc>
      </w:tr>
      <w:tr>
        <w:trPr>
          <w:trHeight w:val="230"/>
        </w:trPr>
        <w:tc>
          <w:tcPr>
            <w:tcW w:w="3540" w:type="dxa"/>
            <w:vAlign w:val="bottom"/>
          </w:tcPr>
          <w:p>
            <w:pPr>
              <w:spacing w:after="0"/>
              <w:rPr>
                <w:sz w:val="20"/>
                <w:szCs w:val="20"/>
                <w:color w:val="auto"/>
              </w:rPr>
            </w:pPr>
          </w:p>
        </w:tc>
        <w:tc>
          <w:tcPr>
            <w:tcW w:w="2620" w:type="dxa"/>
            <w:vAlign w:val="bottom"/>
          </w:tcPr>
          <w:p>
            <w:pPr>
              <w:ind w:left="1820"/>
              <w:spacing w:after="0"/>
              <w:rPr>
                <w:sz w:val="20"/>
                <w:szCs w:val="20"/>
                <w:color w:val="auto"/>
              </w:rPr>
            </w:pPr>
            <w:r>
              <w:rPr>
                <w:rFonts w:ascii="Arial" w:cs="Arial" w:eastAsia="Arial" w:hAnsi="Arial"/>
                <w:sz w:val="18"/>
                <w:szCs w:val="18"/>
                <w:color w:val="auto"/>
              </w:rPr>
              <w:t>Attention:</w:t>
            </w:r>
          </w:p>
        </w:tc>
        <w:tc>
          <w:tcPr>
            <w:tcW w:w="2240" w:type="dxa"/>
            <w:vAlign w:val="bottom"/>
          </w:tcPr>
          <w:p>
            <w:pPr>
              <w:ind w:left="20"/>
              <w:spacing w:after="0"/>
              <w:rPr>
                <w:sz w:val="20"/>
                <w:szCs w:val="20"/>
                <w:color w:val="auto"/>
              </w:rPr>
            </w:pPr>
            <w:r>
              <w:rPr>
                <w:rFonts w:ascii="Arial" w:cs="Arial" w:eastAsia="Arial" w:hAnsi="Arial"/>
                <w:sz w:val="18"/>
                <w:szCs w:val="18"/>
                <w:color w:val="auto"/>
              </w:rPr>
              <w:t>Thomas S. Levato</w:t>
            </w:r>
          </w:p>
        </w:tc>
      </w:tr>
    </w:tbl>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31" w:name="page32"/>
    <w:bookmarkEnd w:id="31"/>
    <w:p>
      <w:pPr>
        <w:ind w:left="3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42307 Osgood Road, Suite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Fremont, California 94538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Facsimile: (510) 445-3700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H. Wang</w:t>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Lincoln Street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(617) 261-3157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Mark L. Johnson</w:t>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Any party hereto may change the address for receipt of communications by giving written notice to the others.</w:t>
      </w:r>
    </w:p>
    <w:p>
      <w:pPr>
        <w:spacing w:after="0" w:line="227" w:lineRule="exact"/>
        <w:rPr>
          <w:sz w:val="20"/>
          <w:szCs w:val="20"/>
          <w:color w:val="auto"/>
        </w:rPr>
      </w:pPr>
    </w:p>
    <w:p>
      <w:pPr>
        <w:ind w:right="80" w:firstLine="648"/>
        <w:spacing w:after="0" w:line="251" w:lineRule="auto"/>
        <w:rPr>
          <w:sz w:val="20"/>
          <w:szCs w:val="20"/>
          <w:color w:val="auto"/>
        </w:rPr>
      </w:pPr>
      <w:r>
        <w:rPr>
          <w:rFonts w:ascii="Arial" w:cs="Arial" w:eastAsia="Arial" w:hAnsi="Arial"/>
          <w:sz w:val="21"/>
          <w:szCs w:val="21"/>
          <w:b w:val="1"/>
          <w:bCs w:val="1"/>
          <w:color w:val="auto"/>
        </w:rPr>
        <w:t>Section 16. Successors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will inure to the benefit of and be binding upon the parties hereto,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Arial" w:cs="Arial" w:eastAsia="Arial" w:hAnsi="Arial"/>
          <w:sz w:val="21"/>
          <w:szCs w:val="21"/>
          <w:b w:val="1"/>
          <w:bCs w:val="1"/>
          <w:color w:val="auto"/>
        </w:rPr>
        <w:t>successors</w:t>
      </w:r>
      <w:r>
        <w:rPr>
          <w:rFonts w:ascii="Arial" w:cs="Arial" w:eastAsia="Arial" w:hAnsi="Arial"/>
          <w:sz w:val="21"/>
          <w:szCs w:val="21"/>
          <w:color w:val="auto"/>
        </w:rPr>
        <w:t>” shall not include any purchaser of the Offered Shares as such from any of the Underwriters merely by reason of such purchase.</w:t>
      </w:r>
    </w:p>
    <w:p>
      <w:pPr>
        <w:spacing w:after="0" w:line="196" w:lineRule="exact"/>
        <w:rPr>
          <w:sz w:val="20"/>
          <w:szCs w:val="20"/>
          <w:color w:val="auto"/>
        </w:rPr>
      </w:pPr>
    </w:p>
    <w:p>
      <w:pPr>
        <w:ind w:right="200" w:firstLine="648"/>
        <w:spacing w:after="0" w:line="289" w:lineRule="auto"/>
        <w:rPr>
          <w:sz w:val="20"/>
          <w:szCs w:val="20"/>
          <w:color w:val="auto"/>
        </w:rPr>
      </w:pPr>
      <w:r>
        <w:rPr>
          <w:rFonts w:ascii="Arial" w:cs="Arial" w:eastAsia="Arial" w:hAnsi="Arial"/>
          <w:sz w:val="19"/>
          <w:szCs w:val="19"/>
          <w:b w:val="1"/>
          <w:bCs w:val="1"/>
          <w:color w:val="auto"/>
        </w:rPr>
        <w:t>Section 17. Partial Unenforceability</w:t>
      </w:r>
      <w:r>
        <w:rPr>
          <w:rFonts w:ascii="Arial" w:cs="Arial" w:eastAsia="Arial" w:hAnsi="Arial"/>
          <w:sz w:val="19"/>
          <w:szCs w:val="19"/>
          <w:color w:val="auto"/>
        </w:rPr>
        <w:t>. The invalidity or unenforceability of any section, paragraph or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63"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color w:val="auto"/>
        </w:rPr>
        <w:t>Governing Law Provisions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in accordance with the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internal laws of the State of New York applicable to agreements made and to be performed in such state. Any legal suit, action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proceeding arising out of or based upon this Agreement or the transactions contemplated hereby (“</w:t>
      </w:r>
      <w:r>
        <w:rPr>
          <w:rFonts w:ascii="Arial" w:cs="Arial" w:eastAsia="Arial" w:hAnsi="Arial"/>
          <w:sz w:val="19"/>
          <w:szCs w:val="19"/>
          <w:b w:val="1"/>
          <w:bCs w:val="1"/>
          <w:color w:val="auto"/>
        </w:rPr>
        <w:t>Related Proceedings</w:t>
      </w:r>
      <w:r>
        <w:rPr>
          <w:rFonts w:ascii="Arial" w:cs="Arial" w:eastAsia="Arial" w:hAnsi="Arial"/>
          <w:sz w:val="19"/>
          <w:szCs w:val="19"/>
          <w:color w:val="auto"/>
        </w:rPr>
        <w:t>”) may be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instituted in the federal courts of the United States of America located in the Borough of Manhattan in the City of New York or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courts of the State of New York in each case located in the Borough of Manhattan in the City of New York (collectively,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proceedings instituted in regard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enforcement of a judgment of any such court (a “</w:t>
      </w:r>
      <w:r>
        <w:rPr>
          <w:rFonts w:ascii="Arial" w:cs="Arial" w:eastAsia="Arial" w:hAnsi="Arial"/>
          <w:sz w:val="19"/>
          <w:szCs w:val="19"/>
          <w:b w:val="1"/>
          <w:bCs w:val="1"/>
          <w:color w:val="auto"/>
        </w:rPr>
        <w:t>Related Judgment</w:t>
      </w:r>
      <w:r>
        <w:rPr>
          <w:rFonts w:ascii="Arial" w:cs="Arial" w:eastAsia="Arial" w:hAnsi="Arial"/>
          <w:sz w:val="19"/>
          <w:szCs w:val="19"/>
          <w:color w:val="auto"/>
        </w:rPr>
        <w:t>”), as to which such jurisdiction is non-exclusive) of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courts in any such suit, action or proceeding. Service of any process, summons, notice or document by mail to such party’s address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set forth above shall be effective service of process for any suit, action or other proceeding brought in any such court. The parties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irrevocably and unconditionally waive any objection to the laying of venue of any suit, action or other proceeding in the Specified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Courts and irrevocably and unconditionally waive and agree not to plead or claim in any such court that any such suit, action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other proceeding brought in any such court has been brought in an inconvenient forum.</w:t>
      </w:r>
    </w:p>
    <w:p>
      <w:pPr>
        <w:spacing w:after="0" w:line="209" w:lineRule="exact"/>
        <w:rPr>
          <w:sz w:val="20"/>
          <w:szCs w:val="20"/>
          <w:color w:val="auto"/>
        </w:rPr>
      </w:pPr>
    </w:p>
    <w:p>
      <w:pPr>
        <w:ind w:firstLine="648"/>
        <w:spacing w:after="0" w:line="278" w:lineRule="auto"/>
        <w:rPr>
          <w:sz w:val="20"/>
          <w:szCs w:val="20"/>
          <w:color w:val="auto"/>
        </w:rPr>
      </w:pPr>
      <w:r>
        <w:rPr>
          <w:rFonts w:ascii="Arial" w:cs="Arial" w:eastAsia="Arial" w:hAnsi="Arial"/>
          <w:sz w:val="19"/>
          <w:szCs w:val="19"/>
          <w:b w:val="1"/>
          <w:bCs w:val="1"/>
          <w:color w:val="auto"/>
        </w:rPr>
        <w:t xml:space="preserve">Section 19. General Provisions. </w:t>
      </w:r>
      <w:r>
        <w:rPr>
          <w:rFonts w:ascii="Arial" w:cs="Arial" w:eastAsia="Arial" w:hAnsi="Arial"/>
          <w:sz w:val="19"/>
          <w:szCs w:val="19"/>
          <w:color w:val="auto"/>
        </w:rPr>
        <w:t>This Agreement constitutes the entire agreement of the parties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 w:name="page33"/>
    <w:bookmarkEnd w:id="32"/>
    <w:p>
      <w:pPr>
        <w:ind w:firstLine="648"/>
        <w:spacing w:after="0" w:line="277" w:lineRule="auto"/>
        <w:rPr>
          <w:sz w:val="20"/>
          <w:szCs w:val="20"/>
          <w:color w:val="auto"/>
        </w:rPr>
      </w:pPr>
      <w:r>
        <w:rPr>
          <w:rFonts w:ascii="Arial" w:cs="Arial" w:eastAsia="Arial" w:hAnsi="Arial"/>
          <w:sz w:val="19"/>
          <w:szCs w:val="19"/>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33" w:name="page34"/>
    <w:bookmarkEnd w:id="33"/>
    <w:p>
      <w:pPr>
        <w:ind w:right="460" w:firstLine="648"/>
        <w:spacing w:after="0" w:line="241"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ACM RESEARCH,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23495</wp:posOffset>
            </wp:positionV>
            <wp:extent cx="34817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foregoing Underwriting Agreement is hereby confirmed and accepted by the Representative in New York, New York as of the date first above written.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STIFEL, NICOLAUS &amp; COMPANY, INCORPORATED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Acting individually and as Representative</w:t>
      </w:r>
    </w:p>
    <w:p>
      <w:pPr>
        <w:spacing w:after="0" w:line="230" w:lineRule="auto"/>
        <w:rPr>
          <w:sz w:val="20"/>
          <w:szCs w:val="20"/>
          <w:color w:val="auto"/>
        </w:rPr>
      </w:pPr>
      <w:r>
        <w:rPr>
          <w:rFonts w:ascii="Arial" w:cs="Arial" w:eastAsia="Arial" w:hAnsi="Arial"/>
          <w:sz w:val="22"/>
          <w:szCs w:val="22"/>
          <w:color w:val="auto"/>
        </w:rPr>
        <w:t>of the several Underwriters named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attached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STIFEL, NICOLAUS &amp; COMPANY, INCORPORATED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34645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81"/>
        </w:trPr>
        <w:tc>
          <w:tcPr>
            <w:tcW w:w="8140" w:type="dxa"/>
            <w:vAlign w:val="bottom"/>
          </w:tcPr>
          <w:p>
            <w:pPr>
              <w:spacing w:after="0"/>
              <w:rPr>
                <w:sz w:val="24"/>
                <w:szCs w:val="24"/>
                <w:color w:val="auto"/>
              </w:rPr>
            </w:pPr>
          </w:p>
        </w:tc>
        <w:tc>
          <w:tcPr>
            <w:tcW w:w="3300" w:type="dxa"/>
            <w:vAlign w:val="bottom"/>
            <w:gridSpan w:val="2"/>
          </w:tcPr>
          <w:p>
            <w:pPr>
              <w:ind w:left="2240"/>
              <w:spacing w:after="0"/>
              <w:rPr>
                <w:sz w:val="20"/>
                <w:szCs w:val="20"/>
                <w:color w:val="auto"/>
              </w:rPr>
            </w:pPr>
            <w:r>
              <w:rPr>
                <w:rFonts w:ascii="Arial" w:cs="Arial" w:eastAsia="Arial" w:hAnsi="Arial"/>
                <w:sz w:val="22"/>
                <w:szCs w:val="22"/>
                <w:b w:val="1"/>
                <w:bCs w:val="1"/>
                <w:color w:val="auto"/>
                <w:w w:val="86"/>
              </w:rPr>
              <w:t>Schedule A</w:t>
            </w:r>
          </w:p>
        </w:tc>
        <w:tc>
          <w:tcPr>
            <w:tcW w:w="0" w:type="dxa"/>
            <w:vAlign w:val="bottom"/>
          </w:tcPr>
          <w:p>
            <w:pPr>
              <w:spacing w:after="0"/>
              <w:rPr>
                <w:sz w:val="1"/>
                <w:szCs w:val="1"/>
                <w:color w:val="auto"/>
              </w:rPr>
            </w:pPr>
          </w:p>
        </w:tc>
      </w:tr>
      <w:tr>
        <w:trPr>
          <w:trHeight w:val="233"/>
        </w:trPr>
        <w:tc>
          <w:tcPr>
            <w:tcW w:w="8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spacing w:after="0"/>
              <w:rPr>
                <w:sz w:val="17"/>
                <w:szCs w:val="17"/>
                <w:color w:val="auto"/>
              </w:rPr>
            </w:pPr>
          </w:p>
        </w:tc>
        <w:tc>
          <w:tcPr>
            <w:tcW w:w="32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Firm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Underwriters</w:t>
            </w:r>
          </w:p>
        </w:tc>
        <w:tc>
          <w:tcPr>
            <w:tcW w:w="328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to be Purchased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785,715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Roth Capital Partners LLC</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Craig-Hallum Capital Group LLC</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205,357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The Benchmark Company</w:t>
            </w: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53,571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1,785,715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8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Schedule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Free Writing Prospectuses Included in the Time of Sale Prospectus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33" w:lineRule="exact"/>
        <w:rPr>
          <w:sz w:val="20"/>
          <w:szCs w:val="20"/>
          <w:color w:val="auto"/>
        </w:rPr>
      </w:pPr>
    </w:p>
    <w:p>
      <w:pPr>
        <w:ind w:left="4780"/>
        <w:spacing w:after="0"/>
        <w:rPr>
          <w:sz w:val="20"/>
          <w:szCs w:val="20"/>
          <w:color w:val="auto"/>
        </w:rPr>
      </w:pPr>
      <w:r>
        <w:rPr>
          <w:rFonts w:ascii="Arial" w:cs="Arial" w:eastAsia="Arial" w:hAnsi="Arial"/>
          <w:sz w:val="22"/>
          <w:szCs w:val="22"/>
          <w:b w:val="1"/>
          <w:bCs w:val="1"/>
          <w:u w:val="single" w:color="auto"/>
          <w:color w:val="auto"/>
        </w:rPr>
        <w:t>Pricing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Firm Shares: </w:t>
      </w:r>
      <w:r>
        <w:rPr>
          <w:rFonts w:ascii="Arial" w:cs="Arial" w:eastAsia="Arial" w:hAnsi="Arial"/>
          <w:sz w:val="22"/>
          <w:szCs w:val="22"/>
          <w:color w:val="auto"/>
        </w:rPr>
        <w:t>1,785,715 Shares of 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Optional Shares: </w:t>
      </w:r>
      <w:r>
        <w:rPr>
          <w:rFonts w:ascii="Arial" w:cs="Arial" w:eastAsia="Arial" w:hAnsi="Arial"/>
          <w:sz w:val="22"/>
          <w:szCs w:val="22"/>
          <w:color w:val="auto"/>
        </w:rPr>
        <w:t>267,857 Shares of 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Public Offering Price: </w:t>
      </w:r>
      <w:r>
        <w:rPr>
          <w:rFonts w:ascii="Arial" w:cs="Arial" w:eastAsia="Arial" w:hAnsi="Arial"/>
          <w:sz w:val="22"/>
          <w:szCs w:val="22"/>
          <w:color w:val="auto"/>
        </w:rPr>
        <w:t>$14.00</w:t>
      </w:r>
    </w:p>
    <w:p>
      <w:pPr>
        <w:spacing w:after="0" w:line="233"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Commission:</w:t>
      </w:r>
      <w:r>
        <w:rPr>
          <w:sz w:val="20"/>
          <w:szCs w:val="20"/>
          <w:color w:val="auto"/>
        </w:rPr>
        <w:tab/>
      </w:r>
      <w:r>
        <w:rPr>
          <w:rFonts w:ascii="Arial" w:cs="Arial" w:eastAsia="Arial" w:hAnsi="Arial"/>
          <w:sz w:val="22"/>
          <w:szCs w:val="22"/>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Schedule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Permitted Section 5(d) Communications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Form of Lock-up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ind w:left="100"/>
        <w:spacing w:after="0" w:line="238" w:lineRule="auto"/>
        <w:rPr>
          <w:sz w:val="20"/>
          <w:szCs w:val="20"/>
          <w:color w:val="auto"/>
        </w:rPr>
      </w:pPr>
      <w:r>
        <w:rPr>
          <w:rFonts w:ascii="Arial" w:cs="Arial" w:eastAsia="Arial" w:hAnsi="Arial"/>
          <w:sz w:val="22"/>
          <w:szCs w:val="22"/>
          <w:color w:val="auto"/>
        </w:rPr>
        <w:t>As Representative of the several Underwriters</w:t>
      </w:r>
    </w:p>
    <w:p>
      <w:pPr>
        <w:spacing w:after="0" w:line="230" w:lineRule="auto"/>
        <w:rPr>
          <w:sz w:val="20"/>
          <w:szCs w:val="20"/>
          <w:color w:val="auto"/>
        </w:rPr>
      </w:pPr>
      <w:r>
        <w:rPr>
          <w:rFonts w:ascii="Arial" w:cs="Arial" w:eastAsia="Arial" w:hAnsi="Arial"/>
          <w:sz w:val="22"/>
          <w:szCs w:val="22"/>
          <w:color w:val="auto"/>
        </w:rPr>
        <w:t>One Montgomery Street</w:t>
      </w:r>
    </w:p>
    <w:p>
      <w:pPr>
        <w:spacing w:after="0" w:line="231" w:lineRule="auto"/>
        <w:rPr>
          <w:sz w:val="20"/>
          <w:szCs w:val="20"/>
          <w:color w:val="auto"/>
        </w:rPr>
      </w:pPr>
      <w:r>
        <w:rPr>
          <w:rFonts w:ascii="Arial" w:cs="Arial" w:eastAsia="Arial" w:hAnsi="Arial"/>
          <w:sz w:val="22"/>
          <w:szCs w:val="22"/>
          <w:color w:val="auto"/>
        </w:rPr>
        <w:t>Suite 3700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California 94104</w:t>
      </w:r>
    </w:p>
    <w:p>
      <w:pPr>
        <w:spacing w:after="0" w:line="209"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ACM Research, Inc.</w:t>
      </w:r>
      <w:r>
        <w:rPr>
          <w:rFonts w:ascii="Arial" w:cs="Arial" w:eastAsia="Arial" w:hAnsi="Arial"/>
          <w:sz w:val="22"/>
          <w:szCs w:val="22"/>
          <w:color w:val="auto"/>
        </w:rPr>
        <w:t xml:space="preserve">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Ladies &amp; Gentlemen: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undersigned is an officer, director and/or an owner of shares (“</w:t>
      </w:r>
      <w:r>
        <w:rPr>
          <w:rFonts w:ascii="Arial" w:cs="Arial" w:eastAsia="Arial" w:hAnsi="Arial"/>
          <w:sz w:val="19"/>
          <w:szCs w:val="19"/>
          <w:b w:val="1"/>
          <w:bCs w:val="1"/>
          <w:color w:val="auto"/>
        </w:rPr>
        <w:t>Shares</w:t>
      </w:r>
      <w:r>
        <w:rPr>
          <w:rFonts w:ascii="Arial" w:cs="Arial" w:eastAsia="Arial" w:hAnsi="Arial"/>
          <w:sz w:val="19"/>
          <w:szCs w:val="19"/>
          <w:color w:val="auto"/>
        </w:rPr>
        <w:t>”) of Class A or Class B common stock, par value $0.0001 per share, of the Company (together, the “</w:t>
      </w:r>
      <w:r>
        <w:rPr>
          <w:rFonts w:ascii="Arial" w:cs="Arial" w:eastAsia="Arial" w:hAnsi="Arial"/>
          <w:sz w:val="19"/>
          <w:szCs w:val="19"/>
          <w:b w:val="1"/>
          <w:bCs w:val="1"/>
          <w:color w:val="auto"/>
        </w:rPr>
        <w:t>Common Stock</w:t>
      </w:r>
      <w:r>
        <w:rPr>
          <w:rFonts w:ascii="Arial" w:cs="Arial" w:eastAsia="Arial" w:hAnsi="Arial"/>
          <w:sz w:val="19"/>
          <w:szCs w:val="19"/>
          <w:color w:val="auto"/>
        </w:rPr>
        <w:t>”) or of Related Securities. The Company proposes to conduct a public offering of Shares (the “</w:t>
      </w:r>
      <w:r>
        <w:rPr>
          <w:rFonts w:ascii="Arial" w:cs="Arial" w:eastAsia="Arial" w:hAnsi="Arial"/>
          <w:sz w:val="19"/>
          <w:szCs w:val="19"/>
          <w:b w:val="1"/>
          <w:bCs w:val="1"/>
          <w:color w:val="auto"/>
        </w:rPr>
        <w:t>Offering</w:t>
      </w:r>
      <w:r>
        <w:rPr>
          <w:rFonts w:ascii="Arial" w:cs="Arial" w:eastAsia="Arial" w:hAnsi="Arial"/>
          <w:sz w:val="19"/>
          <w:szCs w:val="19"/>
          <w:color w:val="auto"/>
        </w:rPr>
        <w:t>”) for which Stifel, Nicolaus &amp; Company, Incorporated (“</w:t>
      </w:r>
      <w:r>
        <w:rPr>
          <w:rFonts w:ascii="Arial" w:cs="Arial" w:eastAsia="Arial" w:hAnsi="Arial"/>
          <w:sz w:val="19"/>
          <w:szCs w:val="19"/>
          <w:b w:val="1"/>
          <w:bCs w:val="1"/>
          <w:color w:val="auto"/>
        </w:rPr>
        <w:t>Stifel</w:t>
      </w:r>
      <w:r>
        <w:rPr>
          <w:rFonts w:ascii="Arial" w:cs="Arial" w:eastAsia="Arial" w:hAnsi="Arial"/>
          <w:sz w:val="19"/>
          <w:szCs w:val="19"/>
          <w:color w:val="auto"/>
        </w:rPr>
        <w:t>”) will act as the representative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and other underwriting arrangements with the Company with respect to the Offering.</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sets forth definitions for capitalized terms used in this letter agreement that are not defined in the body of this letter agreement. Those definitions are a part of this letter agreement.</w:t>
      </w:r>
    </w:p>
    <w:p>
      <w:pPr>
        <w:spacing w:after="0" w:line="200"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Stifel, which may withhold its consent in its sole discretion:</w:t>
      </w:r>
    </w:p>
    <w:p>
      <w:pPr>
        <w:spacing w:after="0" w:line="168"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foregoing restrictions shall not apply to the following:</w:t>
      </w:r>
    </w:p>
    <w:p>
      <w:pPr>
        <w:spacing w:after="0" w:line="240" w:lineRule="exact"/>
        <w:rPr>
          <w:sz w:val="20"/>
          <w:szCs w:val="20"/>
          <w:color w:val="auto"/>
        </w:rPr>
      </w:pPr>
    </w:p>
    <w:p>
      <w:pPr>
        <w:ind w:left="820" w:hanging="48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relating to Shares Related Securities acquired in open market transactions after the completion of the Offering;</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transfers of Shares or Related Securities as a bona fide gift;</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transfers or dispositions of Shares or Related Securities to the Immediate Family Member or to a trust formed for the direct or indirect benefit of the undersigned or an Immediate Family Member;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ind w:left="820" w:hanging="488"/>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transfers or dispositions of Shares or Related Securities by will, other testamentary document or intestate succession to the legal representative, heir, beneficiary or trustee of the undersigned;</w:t>
      </w:r>
    </w:p>
    <w:p>
      <w:pPr>
        <w:spacing w:after="0" w:line="197" w:lineRule="exact"/>
        <w:rPr>
          <w:rFonts w:ascii="Arial" w:cs="Arial" w:eastAsia="Arial" w:hAnsi="Arial"/>
          <w:sz w:val="18"/>
          <w:szCs w:val="18"/>
          <w:color w:val="auto"/>
        </w:rPr>
      </w:pPr>
    </w:p>
    <w:p>
      <w:pPr>
        <w:ind w:left="820" w:hanging="488"/>
        <w:spacing w:after="0" w:line="308" w:lineRule="auto"/>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transfers or dispositions of Shares or Related Securities pursuant to a divorce settlement agreement or decree or a qualified domestic relations order as defined in the United States Employee Retirement Income Security Act of 1974, as amended, or similar foreign laws;</w:t>
      </w:r>
    </w:p>
    <w:p>
      <w:pPr>
        <w:spacing w:after="0" w:line="173" w:lineRule="exact"/>
        <w:rPr>
          <w:rFonts w:ascii="Arial" w:cs="Arial" w:eastAsia="Arial" w:hAnsi="Arial"/>
          <w:sz w:val="17"/>
          <w:szCs w:val="17"/>
          <w:color w:val="auto"/>
        </w:rPr>
      </w:pPr>
    </w:p>
    <w:p>
      <w:pPr>
        <w:jc w:val="both"/>
        <w:ind w:left="820" w:hanging="488"/>
        <w:spacing w:after="0" w:line="264"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transfers or dispositions of Shares or Related Securities to any affiliate, limited partners, general partners, limited liability company members or shareholders of the undersigned, or if the undersigned is a corporation to any wholly owned subsidiary of such corporation, or if the undersigned is a trust, to a trustor or beneficiary of the trust;</w:t>
      </w:r>
    </w:p>
    <w:p>
      <w:pPr>
        <w:spacing w:after="0" w:line="208"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or Related Securities, provided that such plan does not provide for the transfer of Shares during the Lock-up Period;</w:t>
      </w:r>
    </w:p>
    <w:p>
      <w:pPr>
        <w:spacing w:after="0" w:line="197" w:lineRule="exact"/>
        <w:rPr>
          <w:rFonts w:ascii="Arial" w:cs="Arial" w:eastAsia="Arial" w:hAnsi="Arial"/>
          <w:sz w:val="18"/>
          <w:szCs w:val="18"/>
          <w:color w:val="auto"/>
        </w:rPr>
      </w:pPr>
    </w:p>
    <w:p>
      <w:pPr>
        <w:jc w:val="both"/>
        <w:ind w:left="820" w:hanging="488"/>
        <w:spacing w:after="0" w:line="271" w:lineRule="auto"/>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receipt by the undersigned from the Company of Shares upon the exercise of options or the vesting of restricted stock units, pursuant to an employee benefit plan disclosed in the prospectus relating to the Offering, or the transfer of Shares or Related Securities to the Company upon a vesting event of the Company’s securities (including restricted stock units) or upon the exercise of options or warrants to purchase the Company’s securities on a “cashless,” “net exercise” or “net withholding” basis to cover the exercise price or tax withholding obligations of the undersigned in connection with such vesting or exercise, provided that any filing under Section 16(a) of the Exchange Act shall clearly indicate in the footnotes thereto that (a) the filing relates to the circumstances described, (b) no Shares or Related Securities were sold by the reporting person to any third party and (c) the Shares or Related Securities received upon exercise of the option or vesting of the restricted stock units remain subject to the terms of this letter agreement; or</w:t>
      </w:r>
    </w:p>
    <w:p>
      <w:pPr>
        <w:spacing w:after="0" w:line="205" w:lineRule="exact"/>
        <w:rPr>
          <w:rFonts w:ascii="Arial" w:cs="Arial" w:eastAsia="Arial" w:hAnsi="Arial"/>
          <w:sz w:val="17"/>
          <w:szCs w:val="17"/>
          <w:color w:val="auto"/>
        </w:rPr>
      </w:pPr>
    </w:p>
    <w:p>
      <w:pPr>
        <w:jc w:val="both"/>
        <w:ind w:left="820" w:hanging="488"/>
        <w:spacing w:after="0" w:line="259"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transfer of Shares or Related Securities to the Company pursuant to agreements existing as of the date hereof under which (a) such Shares or Related Securities were issued and (b) the Company has the option to repurchase such Shares or Related Securities or a right of first refusal with respect to transfers of such Shares or Related Securities, provided that no Shares or Related Securities were sold by the undersigned pursuant to this clause (ix);</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provided that, in the case of clauses (i) and (ix), (a) no filing under Section 13 or Section 16(a) of the Exchange Act reporting a reduction in beneficial ownership of Shares shall be required, and (b) no filing under Section 13 or Section 16(a) of the Exchange Act or other public announcement shall be voluntarily made by the undersigned, in the case of both clauses (a) and (b), during the Lock-up Period, other than Forms 5 and Schedule 13F; provided further that, in the case of any transfer or distribution pursuant to clauses (ii), (iii), (iv), (v) and (vi), (a) the recipient agrees to be bound in writing by the same restrictions set forth herein for the duration of the Lock-up Period, (b) no filing under Section 13 or Section 16(a) of the Exchange Act reporting a reduction in beneficial ownership of Shares shall be required during the Lock-up Period, other than Forms 5 and Schedule 13F, and (c) no filing under Section 13 or Section 16(a) of the Exchange Act or other public announcement shall be voluntarily made by the undersigned or the transferee during the Lock-up Period, other than Forms 5 and Schedule 13F, and (d) any such transfer shall not involve a disposition for value. In addition, the foregoing restrictions shall not apply to Shares or Related Securities held by the undersigned and sold pursuant to that certain Equity Purchase Agreement to be entered into by and among the Company and the stockholders of the Company who are signatories thereto, which Equity Purchase Agreement shall be dated on or before the date of the Underwriting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both"/>
        <w:ind w:right="20"/>
        <w:spacing w:after="0"/>
        <w:rPr>
          <w:sz w:val="20"/>
          <w:szCs w:val="20"/>
          <w:color w:val="auto"/>
        </w:rPr>
      </w:pPr>
      <w:r>
        <w:rPr>
          <w:rFonts w:ascii="Arial" w:cs="Arial" w:eastAsia="Arial" w:hAnsi="Arial"/>
          <w:sz w:val="22"/>
          <w:szCs w:val="22"/>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This letter agreement shall be governed by, and construed in accordance with, the laws of the State of New York.</w:t>
      </w:r>
    </w:p>
    <w:p>
      <w:pPr>
        <w:spacing w:after="0" w:line="240" w:lineRule="exact"/>
        <w:rPr>
          <w:sz w:val="20"/>
          <w:szCs w:val="20"/>
          <w:color w:val="auto"/>
        </w:rPr>
      </w:pPr>
    </w:p>
    <w:p>
      <w:pPr>
        <w:ind w:left="5960"/>
        <w:spacing w:after="0"/>
        <w:tabs>
          <w:tab w:leader="none" w:pos="8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17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1714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-10160</wp:posOffset>
            </wp:positionV>
            <wp:extent cx="1514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817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(Indicate capacity of person signing if</w:t>
      </w:r>
    </w:p>
    <w:p>
      <w:pPr>
        <w:spacing w:after="0" w:line="238" w:lineRule="auto"/>
        <w:rPr>
          <w:sz w:val="20"/>
          <w:szCs w:val="20"/>
          <w:color w:val="auto"/>
        </w:rPr>
      </w:pPr>
      <w:r>
        <w:rPr>
          <w:rFonts w:ascii="Arial" w:cs="Arial" w:eastAsia="Arial" w:hAnsi="Arial"/>
          <w:sz w:val="22"/>
          <w:szCs w:val="22"/>
          <w:i w:val="1"/>
          <w:iCs w:val="1"/>
          <w:color w:val="auto"/>
        </w:rPr>
        <w:t>signing as custodian or trustee, or on behalf</w:t>
      </w:r>
    </w:p>
    <w:p>
      <w:pPr>
        <w:spacing w:after="0"/>
        <w:rPr>
          <w:sz w:val="20"/>
          <w:szCs w:val="20"/>
          <w:color w:val="auto"/>
        </w:rPr>
      </w:pPr>
      <w:r>
        <w:rPr>
          <w:rFonts w:ascii="Arial" w:cs="Arial" w:eastAsia="Arial" w:hAnsi="Arial"/>
          <w:sz w:val="22"/>
          <w:szCs w:val="22"/>
          <w:i w:val="1"/>
          <w:iCs w:val="1"/>
          <w:color w:val="auto"/>
        </w:rPr>
        <w:t>of an entity)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u w:val="single" w:color="auto"/>
          <w:color w:val="auto"/>
        </w:rPr>
        <w:t>Annex 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Defined Terms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Used in Lock-up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purposes of the letter agreement to which this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is attached and of which it is made a part:</w:t>
      </w:r>
    </w:p>
    <w:p>
      <w:pPr>
        <w:spacing w:after="0" w:line="23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52"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210"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90 days after the date of the Prospectus (as defined in the Underwriting Agreement).</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252"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Securities</w:t>
      </w:r>
      <w:r>
        <w:rPr>
          <w:rFonts w:ascii="Arial" w:cs="Arial" w:eastAsia="Arial" w:hAnsi="Arial"/>
          <w:sz w:val="17"/>
          <w:szCs w:val="17"/>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sell, offer to sell, contract to sell or lend,</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effect any short sale or establish or increase a Put Equivalent Position or liquidate or decrease any Call Equivalent Position</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pledge, hypothecate or grant any security interest in, or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in any other way transfer or dispose of,</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whether effected directly or indirectly.</w:t>
      </w:r>
    </w:p>
    <w:p>
      <w:pPr>
        <w:spacing w:after="0" w:line="236" w:lineRule="exact"/>
        <w:rPr>
          <w:sz w:val="20"/>
          <w:szCs w:val="20"/>
          <w:color w:val="auto"/>
        </w:rPr>
      </w:pPr>
    </w:p>
    <w:p>
      <w:pPr>
        <w:ind w:left="660" w:right="20" w:hanging="328"/>
        <w:spacing w:after="0" w:line="313"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Swap</w:t>
      </w:r>
      <w:r>
        <w:rPr>
          <w:rFonts w:ascii="Arial" w:cs="Arial" w:eastAsia="Arial" w:hAnsi="Arial"/>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Capitalized terms not defined in this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shall have the meanings given to them in the body of this letter agreement.</w:t>
      </w:r>
    </w:p>
    <w:p>
      <w:pPr>
        <w:spacing w:after="0" w:line="17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Executive Officers and Others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Signing Lock-up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24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David H. Wang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Haiping Dun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Chenming C. Hu</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Tracy Liu</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Yinan Xiang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Zhengfan Yang</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Executive Officers:</w:t>
      </w:r>
    </w:p>
    <w:p>
      <w:pPr>
        <w:spacing w:after="0" w:line="24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Fuping Chen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Jian Wang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Sotheara Cheav</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Lisa Feng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 McKechnie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Others:</w:t>
      </w:r>
    </w:p>
    <w:p>
      <w:pPr>
        <w:spacing w:after="0" w:line="24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Shanghai Science and Technology Venture Capital Co., Ltd.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Xinxin (Hongkong) Capital Co., Limited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Shengxin (Shanghai) Management Consulting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183640" cy="1020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8364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August 14,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ACM R</w:t>
      </w:r>
      <w:r>
        <w:rPr>
          <w:rFonts w:ascii="Arial" w:cs="Arial" w:eastAsia="Arial" w:hAnsi="Arial"/>
          <w:sz w:val="14"/>
          <w:szCs w:val="14"/>
          <w:color w:val="auto"/>
        </w:rPr>
        <w:t>ESEARCH</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42307 Osgood Road, Suite I</w:t>
      </w:r>
    </w:p>
    <w:p>
      <w:pPr>
        <w:spacing w:after="0"/>
        <w:rPr>
          <w:sz w:val="20"/>
          <w:szCs w:val="20"/>
          <w:color w:val="auto"/>
        </w:rPr>
      </w:pPr>
      <w:r>
        <w:rPr>
          <w:rFonts w:ascii="Arial" w:cs="Arial" w:eastAsia="Arial" w:hAnsi="Arial"/>
          <w:sz w:val="22"/>
          <w:szCs w:val="22"/>
          <w:color w:val="auto"/>
        </w:rPr>
        <w:t>Fremont, California 94539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spacing w:after="0" w:line="248" w:lineRule="exact"/>
        <w:rPr>
          <w:sz w:val="20"/>
          <w:szCs w:val="20"/>
          <w:color w:val="auto"/>
        </w:rPr>
      </w:pPr>
      <w:r>
        <w:rPr>
          <w:rFonts w:ascii="Arial" w:cs="Arial" w:eastAsia="Arial" w:hAnsi="Arial"/>
          <w:sz w:val="19"/>
          <w:szCs w:val="19"/>
          <w:color w:val="auto"/>
        </w:rPr>
        <w:t>This opinion is furnished to you in connection with (i) the Registration Statement on Form S-3 (File No. 333</w:t>
      </w:r>
      <w:r>
        <w:rPr>
          <w:rFonts w:ascii="MS PGothic" w:cs="MS PGothic" w:eastAsia="MS PGothic" w:hAnsi="MS PGothic"/>
          <w:sz w:val="19"/>
          <w:szCs w:val="19"/>
          <w:color w:val="auto"/>
        </w:rPr>
        <w:t>‑</w:t>
      </w:r>
      <w:r>
        <w:rPr>
          <w:rFonts w:ascii="Arial" w:cs="Arial" w:eastAsia="Arial" w:hAnsi="Arial"/>
          <w:sz w:val="19"/>
          <w:szCs w:val="19"/>
          <w:color w:val="auto"/>
        </w:rPr>
        <w:t>228734) (the “</w:t>
      </w:r>
      <w:r>
        <w:rPr>
          <w:rFonts w:ascii="Arial" w:cs="Arial" w:eastAsia="Arial" w:hAnsi="Arial"/>
          <w:sz w:val="19"/>
          <w:szCs w:val="19"/>
          <w:i w:val="1"/>
          <w:iCs w:val="1"/>
          <w:color w:val="auto"/>
        </w:rPr>
        <w:t>Registration Statement</w:t>
      </w:r>
      <w:r>
        <w:rPr>
          <w:rFonts w:ascii="Arial" w:cs="Arial" w:eastAsia="Arial" w:hAnsi="Arial"/>
          <w:sz w:val="19"/>
          <w:szCs w:val="19"/>
          <w:color w:val="auto"/>
        </w:rPr>
        <w:t>”) filed by ACM Research, Inc.,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under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for the purpose of registering with the SEC under the Securities Act certain securities, including shares of the Company’s Class A common stock, $0.0001 par value per share, that may be issued and sold by the Company from time to time on a delayed or continuous basis pursuant to Rule 415 under the Securities Act at an aggregate initial offering price not to exceed $100,000,000, as set forth in the Registration Statement and the prospectus contained therein; and (ii) the prospectus supplement, dated August 14, 2019 (the “</w:t>
      </w:r>
      <w:r>
        <w:rPr>
          <w:rFonts w:ascii="Arial" w:cs="Arial" w:eastAsia="Arial" w:hAnsi="Arial"/>
          <w:sz w:val="19"/>
          <w:szCs w:val="19"/>
          <w:i w:val="1"/>
          <w:iCs w:val="1"/>
          <w:color w:val="auto"/>
        </w:rPr>
        <w:t>Prospectus Supplement</w:t>
      </w:r>
      <w:r>
        <w:rPr>
          <w:rFonts w:ascii="Arial" w:cs="Arial" w:eastAsia="Arial" w:hAnsi="Arial"/>
          <w:sz w:val="19"/>
          <w:szCs w:val="19"/>
          <w:color w:val="auto"/>
        </w:rPr>
        <w:t>”), relating to the issuance and sale pursuant to the Registration Statement of up to 2,053,576 shares (the “</w:t>
      </w:r>
      <w:r>
        <w:rPr>
          <w:rFonts w:ascii="Arial" w:cs="Arial" w:eastAsia="Arial" w:hAnsi="Arial"/>
          <w:sz w:val="19"/>
          <w:szCs w:val="19"/>
          <w:i w:val="1"/>
          <w:iCs w:val="1"/>
          <w:color w:val="auto"/>
        </w:rPr>
        <w:t>Shares</w:t>
      </w:r>
      <w:r>
        <w:rPr>
          <w:rFonts w:ascii="Arial" w:cs="Arial" w:eastAsia="Arial" w:hAnsi="Arial"/>
          <w:sz w:val="19"/>
          <w:szCs w:val="19"/>
          <w:color w:val="auto"/>
        </w:rPr>
        <w:t>”) of the Company’s Class A common stock, $0.0001 par value per share, of which 267,857 Shares are issuable upon exercise of an over-allotment option granted by the Company. The Shares are to be sold by the Company pursuant to the underwriting agreement dated August 14, 2019 between the Company and Stifel, Nicolaus &amp; Company, Incorporated, as representative of the several underwriters named therein (the “</w:t>
      </w:r>
      <w:r>
        <w:rPr>
          <w:rFonts w:ascii="Arial" w:cs="Arial" w:eastAsia="Arial" w:hAnsi="Arial"/>
          <w:sz w:val="19"/>
          <w:szCs w:val="19"/>
          <w:i w:val="1"/>
          <w:iCs w:val="1"/>
          <w:color w:val="auto"/>
        </w:rPr>
        <w:t>Underwriting Agreement</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acting as counsel to the Company in connection with the Company’s issuance and sale of the Shares, and you have requested our opinion as to the matter set forth below in connection with the issuance of the Shares. For purposes of rendering that opinion, we have examined:</w:t>
      </w:r>
    </w:p>
    <w:p>
      <w:pPr>
        <w:spacing w:after="0" w:line="221" w:lineRule="exact"/>
        <w:rPr>
          <w:sz w:val="20"/>
          <w:szCs w:val="20"/>
          <w:color w:val="auto"/>
        </w:rPr>
      </w:pPr>
    </w:p>
    <w:p>
      <w:pPr>
        <w:ind w:left="860" w:hanging="4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signed copies of the Registration Statement and pre-effective Amendment No. 1 thereto;</w:t>
      </w:r>
    </w:p>
    <w:p>
      <w:pPr>
        <w:spacing w:after="0" w:line="225" w:lineRule="exact"/>
        <w:rPr>
          <w:rFonts w:ascii="Arial" w:cs="Arial" w:eastAsia="Arial" w:hAnsi="Arial"/>
          <w:sz w:val="18"/>
          <w:szCs w:val="18"/>
          <w:color w:val="auto"/>
        </w:rPr>
      </w:pPr>
    </w:p>
    <w:p>
      <w:pPr>
        <w:ind w:left="860" w:hanging="4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signed copy of the Underwriting Agreement;</w:t>
      </w:r>
    </w:p>
    <w:p>
      <w:pPr>
        <w:spacing w:after="0" w:line="225" w:lineRule="exact"/>
        <w:rPr>
          <w:rFonts w:ascii="Arial" w:cs="Arial" w:eastAsia="Arial" w:hAnsi="Arial"/>
          <w:sz w:val="18"/>
          <w:szCs w:val="18"/>
          <w:color w:val="auto"/>
        </w:rPr>
      </w:pPr>
    </w:p>
    <w:p>
      <w:pPr>
        <w:ind w:left="860" w:hanging="4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Restated Certificate of Incorporation and the Restated Bylaws of the Company, each as currently in effect;</w:t>
      </w:r>
    </w:p>
    <w:p>
      <w:pPr>
        <w:spacing w:after="0" w:line="225" w:lineRule="exact"/>
        <w:rPr>
          <w:rFonts w:ascii="Arial" w:cs="Arial" w:eastAsia="Arial" w:hAnsi="Arial"/>
          <w:sz w:val="18"/>
          <w:szCs w:val="18"/>
          <w:color w:val="auto"/>
        </w:rPr>
      </w:pPr>
    </w:p>
    <w:p>
      <w:pPr>
        <w:ind w:left="860" w:hanging="424"/>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minutes of meetings, and written consents, of the stockholders and board of directors of the Company as furnished by the Company; and</w:t>
      </w:r>
    </w:p>
    <w:p>
      <w:pPr>
        <w:spacing w:after="0" w:line="248" w:lineRule="exact"/>
        <w:rPr>
          <w:rFonts w:ascii="Arial" w:cs="Arial" w:eastAsia="Arial" w:hAnsi="Arial"/>
          <w:sz w:val="16"/>
          <w:szCs w:val="16"/>
          <w:color w:val="auto"/>
        </w:rPr>
      </w:pPr>
    </w:p>
    <w:p>
      <w:pPr>
        <w:ind w:left="860" w:hanging="4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other documents as we have deemed necessary for purposes of rendering the opinion set forth below.</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the purposes of this opinion letter, we have made assumptions that are customary in opinion letters of this kind, including the accuracy and completeness of each document furnished to us, the authenticity of all documents submitted to us as originals, the conformity to original documents of all documents submitted to us as copies and the authenticity of all such originals, the legal competence of all signatories to such documents, and the genuineness of all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K&amp;L Gates LLP</w:t>
      </w:r>
    </w:p>
    <w:p>
      <w:pPr>
        <w:spacing w:after="0" w:line="238" w:lineRule="auto"/>
        <w:rPr>
          <w:sz w:val="20"/>
          <w:szCs w:val="20"/>
          <w:color w:val="auto"/>
        </w:rPr>
      </w:pPr>
      <w:r>
        <w:rPr>
          <w:rFonts w:ascii="Arial" w:cs="Arial" w:eastAsia="Arial" w:hAnsi="Arial"/>
          <w:sz w:val="22"/>
          <w:szCs w:val="22"/>
          <w:color w:val="auto"/>
        </w:rPr>
        <w:t>August 14, 2019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opinion is limited to the General Corporation Law of the State of Delaware.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Based upon and subject to the foregoing, it is our opinion that the Shares have been duly authorized for issuance and, when issued and paid for in accordance with the terms and conditions of the Underwriting Agreement, will be validly issued, fully paid and non-assessable.</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hereby consent to the filing of this opinion letter with the SEC as Exhibit 5.01 to a Current Report on Form 8-K to be filed by the Company in connection with the issuance and sale of the Shares in accordance with the requirements of Item 6.01(b)(5) of Regulation S-K under the Securities Act and to the reference to our firm therein and in the Prospectus Supplement under the caption “Legal Matters.” In giving our consent, we do not thereby admit that we are experts with respect to any part of the Registration Statement, the related Prospectus or any supplement thereto within the meaning of the term “expert,” as used in Section 11 of the Securities Act or the rules and regulations promulgated thereunder, nor do we admit that we are in the category of persons whose consent is required under Section 7 of the Securities Act or the rules and regulations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K&amp;L Gates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K&amp;L G</w:t>
      </w:r>
      <w:r>
        <w:rPr>
          <w:rFonts w:ascii="Arial" w:cs="Arial" w:eastAsia="Arial" w:hAnsi="Arial"/>
          <w:sz w:val="14"/>
          <w:szCs w:val="14"/>
          <w:color w:val="auto"/>
        </w:rPr>
        <w:t>ATES</w:t>
      </w:r>
      <w:r>
        <w:rPr>
          <w:rFonts w:ascii="Arial" w:cs="Arial" w:eastAsia="Arial" w:hAnsi="Arial"/>
          <w:sz w:val="22"/>
          <w:szCs w:val="22"/>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4"/>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5"/>
    </w:lvl>
  </w:abstractNum>
  <w:abstractNum w:abstractNumId="4">
    <w:nsid w:val="8EDBDAB"/>
    <w:multiLevelType w:val="hybridMultilevel"/>
    <w:lvl w:ilvl="0">
      <w:lvlJc w:val="left"/>
      <w:lvlText w:val="(%1)"/>
      <w:numFmt w:val="lowerLetter"/>
      <w:start w:val="9"/>
    </w:lvl>
  </w:abstractNum>
  <w:abstractNum w:abstractNumId="5">
    <w:nsid w:val="79838CB2"/>
    <w:multiLevelType w:val="hybridMultilevel"/>
    <w:lvl w:ilvl="0">
      <w:lvlJc w:val="left"/>
      <w:lvlText w:val="%1"/>
      <w:numFmt w:val="upperLetter"/>
      <w:start w:val="1"/>
    </w:lvl>
    <w:lvl w:ilvl="1">
      <w:lvlJc w:val="left"/>
      <w:lvlText w:val="(%2)"/>
      <w:numFmt w:val="lowerLetter"/>
      <w:start w:val="16"/>
    </w:lvl>
  </w:abstractNum>
  <w:abstractNum w:abstractNumId="6">
    <w:nsid w:val="4353D0CD"/>
    <w:multiLevelType w:val="hybridMultilevel"/>
    <w:lvl w:ilvl="0">
      <w:lvlJc w:val="left"/>
      <w:lvlText w:val="(%1)"/>
      <w:numFmt w:val="upperLetter"/>
      <w:start w:val="1"/>
    </w:lvl>
    <w:lvl w:ilvl="1">
      <w:lvlJc w:val="left"/>
      <w:lvlText w:val="(%2)"/>
      <w:numFmt w:val="lowerLetter"/>
      <w:start w:val="19"/>
    </w:lvl>
  </w:abstractNum>
  <w:abstractNum w:abstractNumId="7">
    <w:nsid w:val="B03E0C6"/>
    <w:multiLevelType w:val="hybridMultilevel"/>
    <w:lvl w:ilvl="0">
      <w:lvlJc w:val="left"/>
      <w:lvlText w:val="(%1)"/>
      <w:numFmt w:val="lowerLetter"/>
      <w:start w:val="20"/>
    </w:lvl>
  </w:abstractNum>
  <w:abstractNum w:abstractNumId="8">
    <w:nsid w:val="189A769B"/>
    <w:multiLevelType w:val="hybridMultilevel"/>
    <w:lvl w:ilvl="0">
      <w:lvlJc w:val="left"/>
      <w:lvlText w:val="(%1)"/>
      <w:numFmt w:val="lowerLetter"/>
      <w:start w:val="24"/>
    </w:lvl>
  </w:abstractNum>
  <w:abstractNum w:abstractNumId="9">
    <w:nsid w:val="54E49EB4"/>
    <w:multiLevelType w:val="hybridMultilevel"/>
    <w:lvl w:ilvl="0">
      <w:lvlJc w:val="left"/>
      <w:lvlText w:val="(%1)"/>
      <w:numFmt w:val="lowerLetter"/>
      <w:start w:val="27"/>
    </w:lvl>
  </w:abstractNum>
  <w:abstractNum w:abstractNumId="10">
    <w:nsid w:val="71F32454"/>
    <w:multiLevelType w:val="hybridMultilevel"/>
    <w:lvl w:ilvl="0">
      <w:lvlJc w:val="left"/>
      <w:lvlText w:val="(%1)"/>
      <w:numFmt w:val="lowerLetter"/>
      <w:start w:val="31"/>
    </w:lvl>
  </w:abstractNum>
  <w:abstractNum w:abstractNumId="11">
    <w:nsid w:val="2CA88611"/>
    <w:multiLevelType w:val="hybridMultilevel"/>
    <w:lvl w:ilvl="0">
      <w:lvlJc w:val="left"/>
      <w:lvlText w:val="(%1)"/>
      <w:numFmt w:val="lowerLetter"/>
      <w:start w:val="37"/>
    </w:lvl>
  </w:abstractNum>
  <w:abstractNum w:abstractNumId="12">
    <w:nsid w:val="836C40E"/>
    <w:multiLevelType w:val="hybridMultilevel"/>
    <w:lvl w:ilvl="0">
      <w:lvlJc w:val="left"/>
      <w:lvlText w:val="(%1)"/>
      <w:numFmt w:val="lowerLetter"/>
      <w:start w:val="45"/>
    </w:lvl>
  </w:abstractNum>
  <w:abstractNum w:abstractNumId="13">
    <w:nsid w:val="2901D82"/>
    <w:multiLevelType w:val="hybridMultilevel"/>
    <w:lvl w:ilvl="0">
      <w:lvlJc w:val="left"/>
      <w:lvlText w:val="(%1)"/>
      <w:numFmt w:val="lowerLetter"/>
      <w:start w:val="50"/>
    </w:lvl>
  </w:abstractNum>
  <w:abstractNum w:abstractNumId="14">
    <w:nsid w:val="3A95F874"/>
    <w:multiLevelType w:val="hybridMultilevel"/>
    <w:lvl w:ilvl="0">
      <w:lvlJc w:val="left"/>
      <w:lvlText w:val="(%1)"/>
      <w:numFmt w:val="lowerLetter"/>
      <w:start w:val="53"/>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4"/>
    </w:lvl>
    <w:lvl w:ilvl="1">
      <w:lvlJc w:val="left"/>
      <w:lvlText w:val="(%2)"/>
      <w:numFmt w:val="lowerRoman"/>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2"/>
    </w:lvl>
  </w:abstractNum>
  <w:abstractNum w:abstractNumId="19">
    <w:nsid w:val="6CEAF087"/>
    <w:multiLevelType w:val="hybridMultilevel"/>
    <w:lvl w:ilvl="0">
      <w:lvlJc w:val="left"/>
      <w:lvlText w:val="(%1)"/>
      <w:numFmt w:val="lowerLetter"/>
      <w:start w:val="5"/>
    </w:lvl>
  </w:abstractNum>
  <w:abstractNum w:abstractNumId="20">
    <w:nsid w:val="22221A70"/>
    <w:multiLevelType w:val="hybridMultilevel"/>
    <w:lvl w:ilvl="0">
      <w:lvlJc w:val="left"/>
      <w:lvlText w:val="%1"/>
      <w:numFmt w:val="lowerLetter"/>
      <w:start w:val="1"/>
    </w:lvl>
    <w:lvl w:ilvl="1">
      <w:lvlJc w:val="left"/>
      <w:lvlText w:val="(%2)"/>
      <w:numFmt w:val="lowerLetter"/>
      <w:start w:val="8"/>
    </w:lvl>
  </w:abstractNum>
  <w:abstractNum w:abstractNumId="21">
    <w:nsid w:val="4516DDE9"/>
    <w:multiLevelType w:val="hybridMultilevel"/>
    <w:lvl w:ilvl="0">
      <w:lvlJc w:val="left"/>
      <w:lvlText w:val="(%1)"/>
      <w:numFmt w:val="lowerLetter"/>
      <w:start w:val="14"/>
    </w:lvl>
    <w:lvl w:ilvl="1">
      <w:lvlJc w:val="left"/>
      <w:lvlText w:val="%2"/>
      <w:numFmt w:val="lowerLetter"/>
      <w:start w:val="1"/>
    </w:lvl>
  </w:abstractNum>
  <w:abstractNum w:abstractNumId="22">
    <w:nsid w:val="3006C83E"/>
    <w:multiLevelType w:val="hybridMultilevel"/>
    <w:lvl w:ilvl="0">
      <w:lvlJc w:val="left"/>
      <w:lvlText w:val="%1"/>
      <w:numFmt w:val="lowerLetter"/>
      <w:start w:val="1"/>
    </w:lvl>
    <w:lvl w:ilvl="1">
      <w:lvlJc w:val="left"/>
      <w:lvlText w:val="(%2)"/>
      <w:numFmt w:val="lowerLetter"/>
      <w:start w:val="15"/>
    </w:lvl>
  </w:abstractNum>
  <w:abstractNum w:abstractNumId="23">
    <w:nsid w:val="614FD4A1"/>
    <w:multiLevelType w:val="hybridMultilevel"/>
    <w:lvl w:ilvl="0">
      <w:lvlJc w:val="left"/>
      <w:lvlText w:val="(%1)"/>
      <w:numFmt w:val="lowerLetter"/>
      <w:start w:val="61"/>
    </w:lvl>
    <w:lvl w:ilvl="1">
      <w:lvlJc w:val="left"/>
      <w:lvlText w:val="(%2)"/>
      <w:numFmt w:val="lowerLetter"/>
      <w:start w:val="16"/>
    </w:lvl>
  </w:abstractNum>
  <w:abstractNum w:abstractNumId="24">
    <w:nsid w:val="419AC241"/>
    <w:multiLevelType w:val="hybridMultilevel"/>
    <w:lvl w:ilvl="0">
      <w:lvlJc w:val="left"/>
      <w:lvlText w:val="(%1)"/>
      <w:numFmt w:val="lowerLetter"/>
      <w:start w:val="19"/>
    </w:lvl>
  </w:abstractNum>
  <w:abstractNum w:abstractNumId="25">
    <w:nsid w:val="5577F8E1"/>
    <w:multiLevelType w:val="hybridMultilevel"/>
    <w:lvl w:ilvl="0">
      <w:lvlJc w:val="left"/>
      <w:lvlText w:val="(%1)"/>
      <w:numFmt w:val="lowerRoman"/>
      <w:start w:val="2"/>
    </w:lvl>
  </w:abstractNum>
  <w:abstractNum w:abstractNumId="26">
    <w:nsid w:val="440BADFC"/>
    <w:multiLevelType w:val="hybridMultilevel"/>
    <w:lvl w:ilvl="0">
      <w:lvlJc w:val="left"/>
      <w:lvlText w:val="(%1)"/>
      <w:numFmt w:val="lowerLetter"/>
      <w:start w:val="1"/>
    </w:lvl>
    <w:lvl w:ilvl="1">
      <w:lvlJc w:val="left"/>
      <w:lvlText w:val="(%2)"/>
      <w:numFmt w:val="lowerRoman"/>
      <w:start w:val="1"/>
    </w:lvl>
  </w:abstractNum>
  <w:abstractNum w:abstractNumId="27">
    <w:nsid w:val="507236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8">
    <w:nsid w:val="3804823E"/>
    <w:multiLevelType w:val="hybridMultilevel"/>
    <w:lvl w:ilvl="0">
      <w:lvlJc w:val="left"/>
      <w:lvlText w:val="(%1)"/>
      <w:numFmt w:val="lowerLetter"/>
      <w:start w:val="9"/>
    </w:lvl>
    <w:lvl w:ilvl="1">
      <w:lvlJc w:val="left"/>
      <w:lvlText w:val="(%2)"/>
      <w:numFmt w:val="lowerLetter"/>
      <w:start w:val="8"/>
    </w:lvl>
    <w:lvl w:ilvl="2">
      <w:lvlJc w:val="left"/>
      <w:lvlText w:val="%3"/>
      <w:numFmt w:val="lowerRoman"/>
      <w:start w:val="1"/>
    </w:lvl>
  </w:abstractNum>
  <w:abstractNum w:abstractNumId="29">
    <w:nsid w:val="77465F01"/>
    <w:multiLevelType w:val="hybridMultilevel"/>
    <w:lvl w:ilvl="0">
      <w:lvlJc w:val="left"/>
      <w:lvlText w:val="(%1)"/>
      <w:numFmt w:val="lowerLetter"/>
      <w:start w:val="1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2"/>
    </w:lvl>
  </w:abstractNum>
  <w:abstractNum w:abstractNumId="32">
    <w:nsid w:val="2463B9EA"/>
    <w:multiLevelType w:val="hybridMultilevel"/>
    <w:lvl w:ilvl="0">
      <w:lvlJc w:val="left"/>
      <w:lvlText w:val="%1"/>
      <w:numFmt w:val="lowerLetter"/>
      <w:start w:val="1"/>
    </w:lvl>
    <w:lvl w:ilvl="1">
      <w:lvlJc w:val="left"/>
      <w:lvlText w:val="(%2)"/>
      <w:numFmt w:val="lowerLetter"/>
      <w:start w:val="3"/>
    </w:lvl>
  </w:abstractNum>
  <w:abstractNum w:abstractNumId="33">
    <w:nsid w:val="5E884ADC"/>
    <w:multiLevelType w:val="hybridMultilevel"/>
    <w:lvl w:ilvl="0">
      <w:lvlJc w:val="left"/>
      <w:lvlText w:val="(%1)"/>
      <w:numFmt w:val="lowerLetter"/>
      <w:start w:val="4"/>
    </w:lvl>
    <w:lvl w:ilvl="1">
      <w:lvlJc w:val="left"/>
      <w:lvlText w:val="%2"/>
      <w:numFmt w:val="lowerLetter"/>
      <w:start w:val="1"/>
    </w:lvl>
  </w:abstractNum>
  <w:abstractNum w:abstractNumId="34">
    <w:nsid w:val="51EAD36B"/>
    <w:multiLevelType w:val="hybridMultilevel"/>
    <w:lvl w:ilvl="0">
      <w:lvlJc w:val="left"/>
      <w:lvlText w:val="(%1)"/>
      <w:numFmt w:val="lowerRoman"/>
      <w:start w:val="5"/>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lowerRoman"/>
      <w:start w:val="4"/>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2019-12-28T06:43:31Z</dcterms:created>
  <dcterms:modified xsi:type="dcterms:W3CDTF">2019-12-28T06:43:31Z</dcterms:modified>
</cp:coreProperties>
</file>