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551180</wp:posOffset>
            </wp:positionH>
            <wp:positionV relativeFrom="page">
              <wp:posOffset>735965</wp:posOffset>
            </wp:positionV>
            <wp:extent cx="68529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2920" cy="762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757555</wp:posOffset>
            </wp:positionV>
            <wp:extent cx="68529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2920" cy="7620"/>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Date of Report (Date of earliest event reported): May 19, 2026</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ACM Research, Inc.</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(Exact Name of Registrant as Specified in its Charter)</w:t>
      </w:r>
    </w:p>
    <w:p>
      <w:pPr>
        <w:spacing w:after="0" w:line="224" w:lineRule="exact"/>
        <w:rPr>
          <w:sz w:val="24"/>
          <w:szCs w:val="24"/>
          <w:color w:val="auto"/>
        </w:rPr>
      </w:pPr>
    </w:p>
    <w:tbl>
      <w:tblPr>
        <w:tblLayout w:type="fixed"/>
        <w:tblInd w:w="460" w:type="dxa"/>
        <w:tblCellMar>
          <w:top w:w="0" w:type="dxa"/>
          <w:left w:w="0" w:type="dxa"/>
          <w:bottom w:w="0" w:type="dxa"/>
          <w:right w:w="0" w:type="dxa"/>
        </w:tblCellMar>
      </w:tblPr>
      <w:tr>
        <w:trPr>
          <w:trHeight w:val="203"/>
        </w:trPr>
        <w:tc>
          <w:tcPr>
            <w:tcW w:w="3960" w:type="dxa"/>
            <w:vAlign w:val="bottom"/>
          </w:tcPr>
          <w:p>
            <w:pPr>
              <w:jc w:val="center"/>
              <w:ind w:right="106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880" w:type="dxa"/>
            <w:vAlign w:val="bottom"/>
          </w:tcPr>
          <w:p>
            <w:pPr>
              <w:jc w:val="right"/>
              <w:ind w:right="1263"/>
              <w:spacing w:after="0"/>
              <w:rPr>
                <w:sz w:val="20"/>
                <w:szCs w:val="20"/>
                <w:color w:val="auto"/>
              </w:rPr>
            </w:pPr>
            <w:r>
              <w:rPr>
                <w:rFonts w:ascii="Times New Roman" w:cs="Times New Roman" w:eastAsia="Times New Roman" w:hAnsi="Times New Roman"/>
                <w:sz w:val="15"/>
                <w:szCs w:val="15"/>
                <w:b w:val="1"/>
                <w:bCs w:val="1"/>
                <w:color w:val="auto"/>
              </w:rPr>
              <w:t>001-38273</w:t>
            </w:r>
          </w:p>
        </w:tc>
        <w:tc>
          <w:tcPr>
            <w:tcW w:w="3120" w:type="dxa"/>
            <w:vAlign w:val="bottom"/>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94-3290283</w:t>
            </w:r>
          </w:p>
        </w:tc>
      </w:tr>
      <w:tr>
        <w:trPr>
          <w:trHeight w:val="220"/>
        </w:trPr>
        <w:tc>
          <w:tcPr>
            <w:tcW w:w="3960" w:type="dxa"/>
            <w:vAlign w:val="bottom"/>
          </w:tcPr>
          <w:p>
            <w:pPr>
              <w:jc w:val="center"/>
              <w:ind w:right="1063"/>
              <w:spacing w:after="0"/>
              <w:rPr>
                <w:sz w:val="20"/>
                <w:szCs w:val="20"/>
                <w:color w:val="auto"/>
              </w:rPr>
            </w:pPr>
            <w:r>
              <w:rPr>
                <w:rFonts w:ascii="Times New Roman" w:cs="Times New Roman" w:eastAsia="Times New Roman" w:hAnsi="Times New Roman"/>
                <w:sz w:val="15"/>
                <w:szCs w:val="15"/>
                <w:i w:val="1"/>
                <w:iCs w:val="1"/>
                <w:color w:val="auto"/>
              </w:rPr>
              <w:t>(State or Other Jurisdiction of Incorporation)</w:t>
            </w:r>
          </w:p>
        </w:tc>
        <w:tc>
          <w:tcPr>
            <w:tcW w:w="2880" w:type="dxa"/>
            <w:vAlign w:val="bottom"/>
          </w:tcPr>
          <w:p>
            <w:pPr>
              <w:jc w:val="center"/>
              <w:ind w:right="383"/>
              <w:spacing w:after="0"/>
              <w:rPr>
                <w:sz w:val="20"/>
                <w:szCs w:val="20"/>
                <w:color w:val="auto"/>
              </w:rPr>
            </w:pPr>
            <w:r>
              <w:rPr>
                <w:rFonts w:ascii="Times New Roman" w:cs="Times New Roman" w:eastAsia="Times New Roman" w:hAnsi="Times New Roman"/>
                <w:sz w:val="15"/>
                <w:szCs w:val="15"/>
                <w:i w:val="1"/>
                <w:iCs w:val="1"/>
                <w:color w:val="auto"/>
              </w:rPr>
              <w:t>(Commission File Number)</w:t>
            </w:r>
          </w:p>
        </w:tc>
        <w:tc>
          <w:tcPr>
            <w:tcW w:w="3120" w:type="dxa"/>
            <w:vAlign w:val="bottom"/>
          </w:tcPr>
          <w:p>
            <w:pPr>
              <w:jc w:val="center"/>
              <w:ind w:left="963"/>
              <w:spacing w:after="0"/>
              <w:rPr>
                <w:sz w:val="20"/>
                <w:szCs w:val="20"/>
                <w:color w:val="auto"/>
              </w:rPr>
            </w:pPr>
            <w:r>
              <w:rPr>
                <w:rFonts w:ascii="Times New Roman" w:cs="Times New Roman" w:eastAsia="Times New Roman" w:hAnsi="Times New Roman"/>
                <w:sz w:val="15"/>
                <w:szCs w:val="15"/>
                <w:i w:val="1"/>
                <w:iCs w:val="1"/>
                <w:color w:val="auto"/>
              </w:rPr>
              <w:t>(IRS Employer Identification No.)</w:t>
            </w:r>
          </w:p>
        </w:tc>
      </w:tr>
      <w:tr>
        <w:trPr>
          <w:trHeight w:val="491"/>
        </w:trPr>
        <w:tc>
          <w:tcPr>
            <w:tcW w:w="3960" w:type="dxa"/>
            <w:vAlign w:val="bottom"/>
          </w:tcPr>
          <w:p>
            <w:pPr>
              <w:jc w:val="center"/>
              <w:ind w:left="663"/>
              <w:spacing w:after="0"/>
              <w:rPr>
                <w:sz w:val="20"/>
                <w:szCs w:val="20"/>
                <w:color w:val="auto"/>
              </w:rPr>
            </w:pPr>
            <w:r>
              <w:rPr>
                <w:rFonts w:ascii="Times New Roman" w:cs="Times New Roman" w:eastAsia="Times New Roman" w:hAnsi="Times New Roman"/>
                <w:sz w:val="15"/>
                <w:szCs w:val="15"/>
                <w:b w:val="1"/>
                <w:bCs w:val="1"/>
                <w:color w:val="auto"/>
              </w:rPr>
              <w:t>42307 Osgood Road, Suite I</w:t>
            </w:r>
          </w:p>
        </w:tc>
        <w:tc>
          <w:tcPr>
            <w:tcW w:w="28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15"/>
        </w:trPr>
        <w:tc>
          <w:tcPr>
            <w:tcW w:w="3960" w:type="dxa"/>
            <w:vAlign w:val="bottom"/>
          </w:tcPr>
          <w:p>
            <w:pPr>
              <w:jc w:val="center"/>
              <w:ind w:left="663"/>
              <w:spacing w:after="0"/>
              <w:rPr>
                <w:sz w:val="20"/>
                <w:szCs w:val="20"/>
                <w:color w:val="auto"/>
              </w:rPr>
            </w:pPr>
            <w:r>
              <w:rPr>
                <w:rFonts w:ascii="Times New Roman" w:cs="Times New Roman" w:eastAsia="Times New Roman" w:hAnsi="Times New Roman"/>
                <w:sz w:val="15"/>
                <w:szCs w:val="15"/>
                <w:b w:val="1"/>
                <w:bCs w:val="1"/>
                <w:color w:val="auto"/>
              </w:rPr>
              <w:t>Fremont, California</w:t>
            </w:r>
          </w:p>
        </w:tc>
        <w:tc>
          <w:tcPr>
            <w:tcW w:w="2880" w:type="dxa"/>
            <w:vAlign w:val="bottom"/>
          </w:tcPr>
          <w:p>
            <w:pPr>
              <w:spacing w:after="0"/>
              <w:rPr>
                <w:sz w:val="18"/>
                <w:szCs w:val="18"/>
                <w:color w:val="auto"/>
              </w:rPr>
            </w:pPr>
          </w:p>
        </w:tc>
        <w:tc>
          <w:tcPr>
            <w:tcW w:w="3120" w:type="dxa"/>
            <w:vAlign w:val="bottom"/>
          </w:tcPr>
          <w:p>
            <w:pPr>
              <w:jc w:val="right"/>
              <w:ind w:right="1703"/>
              <w:spacing w:after="0"/>
              <w:rPr>
                <w:sz w:val="20"/>
                <w:szCs w:val="20"/>
                <w:color w:val="auto"/>
              </w:rPr>
            </w:pPr>
            <w:r>
              <w:rPr>
                <w:rFonts w:ascii="Times New Roman" w:cs="Times New Roman" w:eastAsia="Times New Roman" w:hAnsi="Times New Roman"/>
                <w:sz w:val="15"/>
                <w:szCs w:val="15"/>
                <w:b w:val="1"/>
                <w:bCs w:val="1"/>
                <w:color w:val="auto"/>
              </w:rPr>
              <w:t>94539</w:t>
            </w:r>
          </w:p>
        </w:tc>
      </w:tr>
      <w:tr>
        <w:trPr>
          <w:trHeight w:val="220"/>
        </w:trPr>
        <w:tc>
          <w:tcPr>
            <w:tcW w:w="3960" w:type="dxa"/>
            <w:vAlign w:val="bottom"/>
          </w:tcPr>
          <w:p>
            <w:pPr>
              <w:jc w:val="center"/>
              <w:ind w:left="663"/>
              <w:spacing w:after="0"/>
              <w:rPr>
                <w:sz w:val="20"/>
                <w:szCs w:val="20"/>
                <w:color w:val="auto"/>
              </w:rPr>
            </w:pPr>
            <w:r>
              <w:rPr>
                <w:rFonts w:ascii="Times New Roman" w:cs="Times New Roman" w:eastAsia="Times New Roman" w:hAnsi="Times New Roman"/>
                <w:sz w:val="15"/>
                <w:szCs w:val="15"/>
                <w:i w:val="1"/>
                <w:iCs w:val="1"/>
                <w:color w:val="auto"/>
              </w:rPr>
              <w:t>(Address of Principal Executive Offices)</w:t>
            </w:r>
          </w:p>
        </w:tc>
        <w:tc>
          <w:tcPr>
            <w:tcW w:w="2880" w:type="dxa"/>
            <w:vAlign w:val="bottom"/>
          </w:tcPr>
          <w:p>
            <w:pPr>
              <w:spacing w:after="0"/>
              <w:rPr>
                <w:sz w:val="19"/>
                <w:szCs w:val="19"/>
                <w:color w:val="auto"/>
              </w:rPr>
            </w:pPr>
          </w:p>
        </w:tc>
        <w:tc>
          <w:tcPr>
            <w:tcW w:w="3120" w:type="dxa"/>
            <w:vAlign w:val="bottom"/>
          </w:tcPr>
          <w:p>
            <w:pPr>
              <w:jc w:val="center"/>
              <w:ind w:right="763"/>
              <w:spacing w:after="0"/>
              <w:rPr>
                <w:sz w:val="20"/>
                <w:szCs w:val="20"/>
                <w:color w:val="auto"/>
              </w:rPr>
            </w:pPr>
            <w:r>
              <w:rPr>
                <w:rFonts w:ascii="Times New Roman" w:cs="Times New Roman" w:eastAsia="Times New Roman" w:hAnsi="Times New Roman"/>
                <w:sz w:val="15"/>
                <w:szCs w:val="15"/>
                <w:i w:val="1"/>
                <w:iCs w:val="1"/>
                <w:color w:val="auto"/>
              </w:rPr>
              <w:t>(Zip Code)</w:t>
            </w:r>
          </w:p>
        </w:tc>
      </w:tr>
    </w:tbl>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 xml:space="preserve">Registrant’s telephone number, including area code: </w:t>
      </w:r>
      <w:r>
        <w:rPr>
          <w:rFonts w:ascii="Times New Roman" w:cs="Times New Roman" w:eastAsia="Times New Roman" w:hAnsi="Times New Roman"/>
          <w:sz w:val="15"/>
          <w:szCs w:val="15"/>
          <w:b w:val="1"/>
          <w:bCs w:val="1"/>
          <w:color w:val="auto"/>
        </w:rPr>
        <w:t>(510) 445-3700</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420" w:hanging="412"/>
        <w:spacing w:after="0"/>
        <w:tabs>
          <w:tab w:leader="none" w:pos="42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47" w:lineRule="exact"/>
        <w:rPr>
          <w:rFonts w:ascii="Wingdings" w:cs="Wingdings" w:eastAsia="Wingdings" w:hAnsi="Wingdings"/>
          <w:sz w:val="15"/>
          <w:szCs w:val="15"/>
          <w:b w:val="1"/>
          <w:bCs w:val="1"/>
          <w:color w:val="auto"/>
        </w:rPr>
      </w:pPr>
    </w:p>
    <w:p>
      <w:pPr>
        <w:ind w:left="420" w:hanging="412"/>
        <w:spacing w:after="0"/>
        <w:tabs>
          <w:tab w:leader="none" w:pos="42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47" w:lineRule="exact"/>
        <w:rPr>
          <w:rFonts w:ascii="Wingdings" w:cs="Wingdings" w:eastAsia="Wingdings" w:hAnsi="Wingdings"/>
          <w:sz w:val="15"/>
          <w:szCs w:val="15"/>
          <w:b w:val="1"/>
          <w:bCs w:val="1"/>
          <w:color w:val="auto"/>
        </w:rPr>
      </w:pPr>
    </w:p>
    <w:p>
      <w:pPr>
        <w:ind w:left="420" w:hanging="412"/>
        <w:spacing w:after="0"/>
        <w:tabs>
          <w:tab w:leader="none" w:pos="42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47" w:lineRule="exact"/>
        <w:rPr>
          <w:rFonts w:ascii="Wingdings" w:cs="Wingdings" w:eastAsia="Wingdings" w:hAnsi="Wingdings"/>
          <w:sz w:val="15"/>
          <w:szCs w:val="15"/>
          <w:b w:val="1"/>
          <w:bCs w:val="1"/>
          <w:color w:val="auto"/>
        </w:rPr>
      </w:pPr>
    </w:p>
    <w:p>
      <w:pPr>
        <w:ind w:left="420" w:hanging="412"/>
        <w:spacing w:after="0"/>
        <w:tabs>
          <w:tab w:leader="none" w:pos="42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3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432"/>
        </w:trPr>
        <w:tc>
          <w:tcPr>
            <w:tcW w:w="36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8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80" w:type="dxa"/>
            <w:vAlign w:val="bottom"/>
          </w:tcPr>
          <w:p>
            <w:pPr>
              <w:spacing w:after="0"/>
              <w:rPr>
                <w:sz w:val="24"/>
                <w:szCs w:val="24"/>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8"/>
        </w:trPr>
        <w:tc>
          <w:tcPr>
            <w:tcW w:w="3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Class A Common Stock, par value $0.0001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9"/>
              </w:rPr>
              <w:t>ACMR</w:t>
            </w:r>
          </w:p>
        </w:tc>
        <w:tc>
          <w:tcPr>
            <w:tcW w:w="3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r>
    </w:tbl>
    <w:p>
      <w:pPr>
        <w:spacing w:after="0" w:line="252" w:lineRule="exact"/>
        <w:rPr>
          <w:sz w:val="24"/>
          <w:szCs w:val="24"/>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5"/>
          <w:szCs w:val="15"/>
          <w:b w:val="1"/>
          <w:bCs w:val="1"/>
          <w:color w:val="auto"/>
        </w:rPr>
        <w:t>o</w:t>
      </w:r>
    </w:p>
    <w:p>
      <w:pPr>
        <w:spacing w:after="0" w:line="132" w:lineRule="exact"/>
        <w:rPr>
          <w:sz w:val="24"/>
          <w:szCs w:val="24"/>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697230</wp:posOffset>
            </wp:positionV>
            <wp:extent cx="717740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7405" cy="40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121920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144145</wp:posOffset>
            </wp:positionV>
            <wp:extent cx="71520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127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color w:val="auto"/>
        </w:rPr>
        <w:t>Item 8.01 Other Events.</w:t>
      </w:r>
    </w:p>
    <w:p>
      <w:pPr>
        <w:spacing w:after="0" w:line="21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5"/>
          <w:szCs w:val="15"/>
          <w:color w:val="auto"/>
        </w:rPr>
        <w:t>The shares of our operating subsidiary ACM Research (Shanghai), Inc. (“ACM Shanghai”) are listed on the Sci-Tech innovation board (the “STAR Market”) of the Shanghai Stock Exchange (the “SSE”). In accordance with the SSE’s rules governing the STAR Market, ACM Shanghai filed with the SSE a Record of May 2026 Investor Relations Activity (the “Record”). The SSE posted the Record to the SSE’s website on May 19, 2026. A copy of the Record is attached as Exhibit 99.1 hereto.</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information in this Current Report on Form 8-K, including Exhibit 99.1, is intended to be furnished and shall not be deemed “filed” for purposes of Section 18 of the Securities Exchange Act of 1934, as amended, or otherwise subject to the liabilities of that Section, nor shall it be deemed to be incorporated by reference into any filing of ACM Research, Inc. under the Securities Act of 1933, as amended.</w:t>
      </w:r>
    </w:p>
    <w:p>
      <w:pPr>
        <w:spacing w:after="0" w:line="15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5"/>
          <w:szCs w:val="15"/>
          <w:b w:val="1"/>
          <w:bCs w:val="1"/>
          <w:color w:val="auto"/>
        </w:rPr>
        <w:t>Item 9.01</w:t>
        <w:tab/>
        <w:t>Financial Statements and Exhibits.</w:t>
      </w:r>
    </w:p>
    <w:p>
      <w:pPr>
        <w:spacing w:after="0" w:line="15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(d)</w:t>
        <w:tab/>
        <w:t>Exhibits.</w:t>
      </w:r>
    </w:p>
    <w:p>
      <w:pPr>
        <w:spacing w:after="0" w:line="195" w:lineRule="exact"/>
        <w:rPr>
          <w:sz w:val="20"/>
          <w:szCs w:val="20"/>
          <w:color w:val="auto"/>
        </w:rPr>
      </w:pPr>
    </w:p>
    <w:p>
      <w:pPr>
        <w:ind w:left="220"/>
        <w:spacing w:after="0"/>
        <w:tabs>
          <w:tab w:leader="none" w:pos="5900" w:val="left"/>
        </w:tabs>
        <w:rPr>
          <w:sz w:val="20"/>
          <w:szCs w:val="20"/>
          <w:color w:val="auto"/>
        </w:rPr>
      </w:pPr>
      <w:r>
        <w:rPr>
          <w:rFonts w:ascii="Times New Roman" w:cs="Times New Roman" w:eastAsia="Times New Roman" w:hAnsi="Times New Roman"/>
          <w:sz w:val="12"/>
          <w:szCs w:val="12"/>
          <w:b w:val="1"/>
          <w:bCs w:val="1"/>
          <w:color w:val="auto"/>
        </w:rPr>
        <w:t>Exhibit</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520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1221" w:right="319" w:bottom="1440" w:gutter="0" w:footer="0" w:header="0"/>
        </w:sectPr>
      </w:pPr>
    </w:p>
    <w:p>
      <w:pPr>
        <w:spacing w:after="0" w:line="2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u w:val="single" w:color="auto"/>
          <w:color w:val="0000FF"/>
        </w:rPr>
        <w:t>99.1</w:t>
      </w:r>
      <w:r>
        <w:rPr>
          <w:rFonts w:ascii="Times New Roman" w:cs="Times New Roman" w:eastAsia="Times New Roman" w:hAnsi="Times New Roman"/>
          <w:sz w:val="15"/>
          <w:szCs w:val="15"/>
          <w:color w:val="000000"/>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Record of May 2026 Investor Relations Activity filed by ACM Research (Shanghai), Inc. with the Shanghai Stock Exchange on May 19, 2026</w:t>
      </w:r>
    </w:p>
    <w:p>
      <w:pPr>
        <w:spacing w:after="0" w:line="110" w:lineRule="exact"/>
        <w:rPr>
          <w:sz w:val="20"/>
          <w:szCs w:val="20"/>
          <w:color w:val="auto"/>
        </w:rPr>
      </w:pPr>
    </w:p>
    <w:p>
      <w:pPr>
        <w:sectPr>
          <w:pgSz w:w="11900" w:h="16838" w:orient="portrait"/>
          <w:cols w:equalWidth="0" w:num="2">
            <w:col w:w="600" w:space="620"/>
            <w:col w:w="10040"/>
          </w:cols>
          <w:pgMar w:left="320" w:top="1221" w:right="319" w:bottom="1440" w:gutter="0" w:footer="0" w:header="0"/>
          <w:type w:val="continuous"/>
        </w:sectPr>
      </w:pP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Cover Page Interactive Data File (embedded within the XBRL document)</w:t>
      </w:r>
    </w:p>
    <w:p>
      <w:pPr>
        <w:spacing w:after="0" w:line="292" w:lineRule="exact"/>
        <w:rPr>
          <w:sz w:val="20"/>
          <w:szCs w:val="20"/>
          <w:color w:val="auto"/>
        </w:rPr>
      </w:pPr>
    </w:p>
    <w:p>
      <w:pPr>
        <w:sectPr>
          <w:pgSz w:w="11900" w:h="16838" w:orient="portrait"/>
          <w:cols w:equalWidth="0" w:num="2">
            <w:col w:w="540" w:space="680"/>
            <w:col w:w="10040"/>
          </w:cols>
          <w:pgMar w:left="320" w:top="1221"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 Unofficial English translation of original document prepared in Mandarin Chinese.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21" w:right="3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4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8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5"/>
          <w:szCs w:val="15"/>
          <w:color w:val="auto"/>
        </w:rPr>
        <w:t>ACM RESEARCH, INC.</w:t>
      </w:r>
    </w:p>
    <w:p>
      <w:pPr>
        <w:spacing w:after="0" w:line="342" w:lineRule="exact"/>
        <w:rPr>
          <w:sz w:val="20"/>
          <w:szCs w:val="20"/>
          <w:color w:val="auto"/>
        </w:rPr>
      </w:pPr>
    </w:p>
    <w:p>
      <w:pPr>
        <w:ind w:left="3600"/>
        <w:spacing w:after="0"/>
        <w:tabs>
          <w:tab w:leader="none" w:pos="396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Mark McKechnie</w:t>
      </w:r>
      <w:r>
        <w:rPr>
          <w:rFonts w:ascii="Times New Roman" w:cs="Times New Roman" w:eastAsia="Times New Roman" w:hAnsi="Times New Roman"/>
          <w:sz w:val="15"/>
          <w:szCs w:val="15"/>
          <w:color w:val="auto"/>
        </w:rPr>
        <w:t>________________________</w:t>
      </w:r>
    </w:p>
    <w:p>
      <w:pPr>
        <w:ind w:left="3760"/>
        <w:spacing w:after="0" w:line="225" w:lineRule="auto"/>
        <w:rPr>
          <w:sz w:val="20"/>
          <w:szCs w:val="20"/>
          <w:color w:val="auto"/>
        </w:rPr>
      </w:pPr>
      <w:r>
        <w:rPr>
          <w:rFonts w:ascii="Times New Roman" w:cs="Times New Roman" w:eastAsia="Times New Roman" w:hAnsi="Times New Roman"/>
          <w:sz w:val="15"/>
          <w:szCs w:val="15"/>
          <w:color w:val="auto"/>
        </w:rPr>
        <w:t>Mark McKechnie</w:t>
      </w:r>
    </w:p>
    <w:p>
      <w:pPr>
        <w:ind w:left="3600"/>
        <w:spacing w:after="0"/>
        <w:rPr>
          <w:sz w:val="20"/>
          <w:szCs w:val="20"/>
          <w:color w:val="auto"/>
        </w:rPr>
      </w:pPr>
      <w:r>
        <w:rPr>
          <w:rFonts w:ascii="Times New Roman" w:cs="Times New Roman" w:eastAsia="Times New Roman" w:hAnsi="Times New Roman"/>
          <w:sz w:val="15"/>
          <w:szCs w:val="15"/>
          <w:color w:val="auto"/>
        </w:rPr>
        <w:t>Chief Financial Officer and Treasurer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May 22,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40"/>
          </w:cols>
          <w:pgMar w:left="320" w:top="1221" w:right="33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7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0410" cy="1017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2026-05-22T07:47:13Z</dcterms:created>
  <dcterms:modified xsi:type="dcterms:W3CDTF">2026-05-22T07:47:13Z</dcterms:modified>
</cp:coreProperties>
</file>